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3F924" w14:textId="77777777" w:rsidR="007C5F51" w:rsidRDefault="009A5809">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#115-e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R3-222440</w:t>
      </w:r>
    </w:p>
    <w:p w14:paraId="4DB9B617" w14:textId="77777777" w:rsidR="007C5F51" w:rsidRDefault="009A5809">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February 21</w:t>
      </w:r>
      <w:r>
        <w:rPr>
          <w:rFonts w:ascii="Times New Roman" w:hAnsi="Times New Roman" w:cs="Times New Roman"/>
          <w:b/>
          <w:sz w:val="24"/>
          <w:szCs w:val="28"/>
          <w:vertAlign w:val="superscript"/>
          <w:lang w:eastAsia="sv-SE"/>
        </w:rPr>
        <w:t xml:space="preserve">st </w:t>
      </w:r>
      <w:r>
        <w:rPr>
          <w:rFonts w:ascii="Times New Roman" w:hAnsi="Times New Roman" w:cs="Times New Roman"/>
          <w:b/>
          <w:sz w:val="24"/>
          <w:szCs w:val="28"/>
          <w:lang w:eastAsia="sv-SE"/>
        </w:rPr>
        <w:t>– March 3</w:t>
      </w:r>
      <w:r>
        <w:rPr>
          <w:rFonts w:ascii="Times New Roman" w:hAnsi="Times New Roman" w:cs="Times New Roman"/>
          <w:b/>
          <w:sz w:val="24"/>
          <w:szCs w:val="28"/>
          <w:vertAlign w:val="superscript"/>
          <w:lang w:eastAsia="sv-SE"/>
        </w:rPr>
        <w:t>rd</w:t>
      </w:r>
      <w:r>
        <w:rPr>
          <w:rFonts w:ascii="Times New Roman" w:hAnsi="Times New Roman" w:cs="Times New Roman"/>
          <w:b/>
          <w:sz w:val="24"/>
          <w:szCs w:val="28"/>
          <w:lang w:eastAsia="sv-SE"/>
        </w:rPr>
        <w:t xml:space="preserve"> 2022</w:t>
      </w:r>
    </w:p>
    <w:bookmarkEnd w:id="0"/>
    <w:p w14:paraId="688B6C4A" w14:textId="77777777" w:rsidR="007C5F51" w:rsidRDefault="007C5F51">
      <w:pPr>
        <w:pStyle w:val="3GPPHeader"/>
        <w:spacing w:before="120" w:after="0"/>
        <w:rPr>
          <w:rFonts w:ascii="Times New Roman" w:hAnsi="Times New Roman" w:cs="Times New Roman"/>
          <w:lang w:val="en-GB"/>
        </w:rPr>
      </w:pPr>
    </w:p>
    <w:p w14:paraId="47C64E37" w14:textId="77777777" w:rsidR="007C5F51" w:rsidRDefault="009A5809">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15.2.1.2</w:t>
      </w:r>
    </w:p>
    <w:p w14:paraId="1DB36D13" w14:textId="77777777" w:rsidR="007C5F51" w:rsidRDefault="009A5809">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076C2442" w14:textId="77777777" w:rsidR="007C5F51" w:rsidRDefault="009A5809">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QoE3_Configuration_Report - Summary of email discussion</w:t>
      </w:r>
    </w:p>
    <w:p w14:paraId="5AB7ADD9" w14:textId="77777777" w:rsidR="007C5F51" w:rsidRDefault="009A5809">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53954EAC" w14:textId="77777777" w:rsidR="007C5F51" w:rsidRDefault="009A5809">
      <w:pPr>
        <w:pStyle w:val="Heading1"/>
        <w:spacing w:before="120" w:after="0"/>
        <w:rPr>
          <w:rFonts w:ascii="Arial" w:hAnsi="Arial" w:cs="Arial"/>
          <w:lang w:val="en-GB"/>
        </w:rPr>
      </w:pPr>
      <w:r>
        <w:rPr>
          <w:rFonts w:ascii="Arial" w:hAnsi="Arial" w:cs="Arial"/>
          <w:lang w:val="en-GB"/>
        </w:rPr>
        <w:t>Introduction</w:t>
      </w:r>
    </w:p>
    <w:p w14:paraId="21F80B75" w14:textId="77777777" w:rsidR="007C5F51" w:rsidRDefault="009A5809">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February 25</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3DC3B5B" w14:textId="77777777" w:rsidR="007C5F51" w:rsidRDefault="009A5809">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72DDE035" w14:textId="77777777" w:rsidR="007C5F51" w:rsidRDefault="009A5809">
      <w:pPr>
        <w:spacing w:before="120" w:after="0"/>
        <w:ind w:left="360"/>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 xml:space="preserve">[Eri1676] </w:t>
      </w:r>
      <w:r>
        <w:rPr>
          <w:rFonts w:ascii="Times New Roman" w:hAnsi="Times New Roman" w:cs="Times New Roman"/>
          <w:color w:val="000000"/>
          <w:sz w:val="20"/>
          <w:szCs w:val="20"/>
          <w:lang w:val="en-GB"/>
        </w:rPr>
        <w:t>(TP for QoE BL CR for TS 38.300) Stage-2 Aspects of NR QoE Management (Ericsson)</w:t>
      </w:r>
      <w:r>
        <w:rPr>
          <w:rFonts w:ascii="Times New Roman" w:hAnsi="Times New Roman" w:cs="Times New Roman"/>
          <w:b/>
          <w:bCs/>
          <w:color w:val="000000"/>
          <w:sz w:val="20"/>
          <w:szCs w:val="20"/>
          <w:lang w:val="en-GB"/>
        </w:rPr>
        <w:t xml:space="preserve"> </w:t>
      </w:r>
    </w:p>
    <w:p w14:paraId="44EF3C67" w14:textId="77777777" w:rsidR="007C5F51" w:rsidRDefault="009A5809">
      <w:pPr>
        <w:spacing w:before="120" w:after="0"/>
        <w:ind w:left="360"/>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 xml:space="preserve">[Eri2507] </w:t>
      </w:r>
      <w:r>
        <w:rPr>
          <w:rFonts w:ascii="Times New Roman" w:hAnsi="Times New Roman" w:cs="Times New Roman"/>
          <w:color w:val="000000"/>
          <w:sz w:val="20"/>
          <w:szCs w:val="20"/>
          <w:lang w:val="en-GB"/>
        </w:rPr>
        <w:t>(TP for QoE BL CR for TS 38.413) QoE Configuration and Reporting (Ericsson)</w:t>
      </w:r>
    </w:p>
    <w:p w14:paraId="28ED0BAB" w14:textId="77777777" w:rsidR="007C5F51" w:rsidRDefault="009A5809">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[Nok2107] </w:t>
      </w:r>
      <w:r>
        <w:rPr>
          <w:rFonts w:ascii="Times New Roman" w:hAnsi="Times New Roman" w:cs="Times New Roman"/>
          <w:color w:val="000000"/>
          <w:sz w:val="20"/>
          <w:szCs w:val="20"/>
          <w:lang w:val="en-GB"/>
        </w:rPr>
        <w:t>(TP for BL CR to TS 38.413) NGAP rapporteur corrections (Nokia, Nokia Shanghai Bell)</w:t>
      </w:r>
    </w:p>
    <w:p w14:paraId="28E56734" w14:textId="77777777" w:rsidR="007C5F51" w:rsidRDefault="009A5809">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[CATT2205] </w:t>
      </w:r>
      <w:r>
        <w:rPr>
          <w:rFonts w:ascii="Times New Roman" w:hAnsi="Times New Roman" w:cs="Times New Roman"/>
          <w:color w:val="000000"/>
          <w:sz w:val="20"/>
          <w:szCs w:val="20"/>
          <w:lang w:val="en-GB"/>
        </w:rPr>
        <w:t>(TP for 38.413) Discussion on NR QoE configuration procedures (CATT)</w:t>
      </w:r>
    </w:p>
    <w:p w14:paraId="03B505B1" w14:textId="77777777" w:rsidR="007C5F51" w:rsidRDefault="009A5809">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[CATT2206] </w:t>
      </w:r>
      <w:r>
        <w:rPr>
          <w:rFonts w:ascii="Times New Roman" w:hAnsi="Times New Roman" w:cs="Times New Roman"/>
          <w:color w:val="000000"/>
          <w:sz w:val="20"/>
          <w:szCs w:val="20"/>
          <w:lang w:val="en-GB"/>
        </w:rPr>
        <w:t>Discussion on NR QoE configuration details (CATT)</w:t>
      </w:r>
    </w:p>
    <w:p w14:paraId="52A81BEF" w14:textId="77777777" w:rsidR="007C5F51" w:rsidRDefault="009A5809">
      <w:pPr>
        <w:spacing w:before="120" w:after="0"/>
        <w:ind w:left="360"/>
        <w:rPr>
          <w:rFonts w:ascii="Times New Roman" w:hAnsi="Times New Roman" w:cs="Times New Roman"/>
          <w:color w:val="000000"/>
          <w:sz w:val="20"/>
          <w:szCs w:val="20"/>
          <w:lang w:val="en-GB"/>
        </w:rPr>
      </w:pPr>
      <w:bookmarkStart w:id="3" w:name="_Hlk96096380"/>
      <w:r>
        <w:rPr>
          <w:rFonts w:ascii="Times New Roman" w:hAnsi="Times New Roman" w:cs="Times New Roman"/>
          <w:b/>
          <w:bCs/>
          <w:color w:val="000000"/>
          <w:sz w:val="20"/>
          <w:szCs w:val="20"/>
          <w:lang w:val="en-GB"/>
        </w:rPr>
        <w:t xml:space="preserve">[Hua2222] </w:t>
      </w:r>
      <w:bookmarkEnd w:id="3"/>
      <w:r>
        <w:rPr>
          <w:rFonts w:ascii="Times New Roman" w:hAnsi="Times New Roman" w:cs="Times New Roman"/>
          <w:color w:val="000000"/>
          <w:sz w:val="20"/>
          <w:szCs w:val="20"/>
          <w:lang w:val="en-GB"/>
        </w:rPr>
        <w:t>Further discussion on configuration details (Huawei)</w:t>
      </w:r>
      <w:r>
        <w:rPr>
          <w:rFonts w:ascii="Times New Roman" w:hAnsi="Times New Roman" w:cs="Times New Roman"/>
          <w:color w:val="000000"/>
          <w:sz w:val="20"/>
          <w:szCs w:val="20"/>
          <w:lang w:val="en-GB"/>
        </w:rPr>
        <w:tab/>
      </w:r>
    </w:p>
    <w:p w14:paraId="1644885A" w14:textId="77777777" w:rsidR="007C5F51" w:rsidRDefault="009A5809">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[Hua2223] </w:t>
      </w:r>
      <w:r>
        <w:rPr>
          <w:rFonts w:ascii="Times New Roman" w:hAnsi="Times New Roman" w:cs="Times New Roman"/>
          <w:color w:val="000000"/>
          <w:sz w:val="20"/>
          <w:szCs w:val="20"/>
          <w:lang w:val="en-GB"/>
        </w:rPr>
        <w:t>TP to 38.413 on configuration details (Huawei)</w:t>
      </w:r>
    </w:p>
    <w:p w14:paraId="5E2FA715" w14:textId="77777777" w:rsidR="007C5F51" w:rsidRDefault="009A5809">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[ZTE2365] </w:t>
      </w:r>
      <w:r>
        <w:rPr>
          <w:rFonts w:ascii="Times New Roman" w:hAnsi="Times New Roman" w:cs="Times New Roman"/>
          <w:color w:val="000000"/>
          <w:sz w:val="20"/>
          <w:szCs w:val="20"/>
          <w:lang w:val="en-GB"/>
        </w:rPr>
        <w:t xml:space="preserve">(TP to BL CR of TS38.300) Consideration on NR QoE Configuration (ZTE) </w:t>
      </w:r>
    </w:p>
    <w:p w14:paraId="6529A7EB" w14:textId="77777777" w:rsidR="007C5F51" w:rsidRDefault="009A5809">
      <w:pPr>
        <w:spacing w:before="120" w:after="0"/>
        <w:rPr>
          <w:rFonts w:ascii="Arial" w:hAnsi="Arial" w:cs="Arial"/>
          <w:lang w:val="en-GB"/>
        </w:rPr>
      </w:pPr>
      <w:r>
        <w:rPr>
          <w:rFonts w:ascii="Times New Roman" w:hAnsi="Times New Roman" w:cs="Times New Roman"/>
          <w:color w:val="000000"/>
          <w:sz w:val="20"/>
          <w:szCs w:val="20"/>
          <w:lang w:val="en-GB"/>
        </w:rPr>
        <w:t>A TP for QoE BL CR for TS 38.413 will be drafted based on the outcome of this round.</w:t>
      </w:r>
    </w:p>
    <w:p w14:paraId="0A1BD3AB" w14:textId="77777777" w:rsidR="007C5F51" w:rsidRDefault="009A5809">
      <w:pPr>
        <w:pStyle w:val="Heading1"/>
        <w:rPr>
          <w:rFonts w:ascii="Arial" w:hAnsi="Arial" w:cs="Arial"/>
          <w:lang w:val="en-GB"/>
        </w:rPr>
      </w:pPr>
      <w:bookmarkStart w:id="4" w:name="_Hlk87391000"/>
      <w:r>
        <w:rPr>
          <w:rFonts w:ascii="Arial" w:hAnsi="Arial" w:cs="Arial"/>
          <w:lang w:val="en-GB"/>
        </w:rPr>
        <w:t>For the Chairman notes</w:t>
      </w:r>
    </w:p>
    <w:p w14:paraId="34727437" w14:textId="34531F97" w:rsidR="006A47E5" w:rsidRPr="006A47E5" w:rsidRDefault="006A47E5" w:rsidP="006A47E5">
      <w:pPr>
        <w:rPr>
          <w:rFonts w:ascii="Times New Roman" w:hAnsi="Times New Roman" w:cs="Times New Roman"/>
          <w:b/>
          <w:bCs/>
          <w:color w:val="00B050"/>
          <w:sz w:val="20"/>
          <w:szCs w:val="22"/>
          <w:lang w:val="en-GB"/>
        </w:rPr>
      </w:pPr>
      <w:r w:rsidRPr="006A47E5">
        <w:rPr>
          <w:rFonts w:ascii="Times New Roman" w:hAnsi="Times New Roman" w:cs="Times New Roman"/>
          <w:b/>
          <w:bCs/>
          <w:color w:val="00B050"/>
          <w:sz w:val="20"/>
          <w:szCs w:val="22"/>
          <w:lang w:val="en-GB"/>
        </w:rPr>
        <w:t>Proposal 1: Whether TS 28.404 requires that</w:t>
      </w:r>
      <w:r w:rsidR="00535CF4">
        <w:rPr>
          <w:rFonts w:ascii="Times New Roman" w:hAnsi="Times New Roman" w:cs="Times New Roman"/>
          <w:b/>
          <w:bCs/>
          <w:color w:val="00B050"/>
          <w:sz w:val="20"/>
          <w:szCs w:val="22"/>
          <w:lang w:val="en-GB"/>
        </w:rPr>
        <w:t xml:space="preserve"> a</w:t>
      </w:r>
      <w:r w:rsidR="00615BE6">
        <w:rPr>
          <w:rFonts w:ascii="Times New Roman" w:hAnsi="Times New Roman" w:cs="Times New Roman"/>
          <w:b/>
          <w:bCs/>
          <w:color w:val="00B050"/>
          <w:sz w:val="20"/>
          <w:szCs w:val="22"/>
          <w:lang w:val="en-GB"/>
        </w:rPr>
        <w:t xml:space="preserve"> reporting</w:t>
      </w:r>
      <w:r w:rsidRPr="006A47E5">
        <w:rPr>
          <w:rFonts w:ascii="Times New Roman" w:hAnsi="Times New Roman" w:cs="Times New Roman"/>
          <w:b/>
          <w:bCs/>
          <w:color w:val="00B050"/>
          <w:sz w:val="20"/>
          <w:szCs w:val="22"/>
          <w:lang w:val="en-GB"/>
        </w:rPr>
        <w:t xml:space="preserve"> pause/resume indication </w:t>
      </w:r>
      <w:r w:rsidR="003E56FE">
        <w:rPr>
          <w:rFonts w:ascii="Times New Roman" w:hAnsi="Times New Roman" w:cs="Times New Roman"/>
          <w:b/>
          <w:bCs/>
          <w:color w:val="00B050"/>
          <w:sz w:val="20"/>
          <w:szCs w:val="22"/>
          <w:lang w:val="en-GB"/>
        </w:rPr>
        <w:t>is</w:t>
      </w:r>
      <w:r w:rsidRPr="006A47E5">
        <w:rPr>
          <w:rFonts w:ascii="Times New Roman" w:hAnsi="Times New Roman" w:cs="Times New Roman"/>
          <w:b/>
          <w:bCs/>
          <w:color w:val="00B050"/>
          <w:sz w:val="20"/>
          <w:szCs w:val="22"/>
          <w:lang w:val="en-GB"/>
        </w:rPr>
        <w:t xml:space="preserve"> sent to the OAM has no RAN3 impact.</w:t>
      </w:r>
    </w:p>
    <w:p w14:paraId="3B69FE47" w14:textId="25E14111" w:rsidR="006A47E5" w:rsidRPr="00495209" w:rsidRDefault="006A47E5" w:rsidP="006A47E5">
      <w:pPr>
        <w:rPr>
          <w:rFonts w:ascii="Times New Roman" w:hAnsi="Times New Roman" w:cs="Times New Roman"/>
          <w:b/>
          <w:bCs/>
          <w:color w:val="00B050"/>
          <w:sz w:val="20"/>
          <w:szCs w:val="22"/>
          <w:lang w:val="en-GB"/>
        </w:rPr>
      </w:pPr>
      <w:r w:rsidRPr="006A47E5">
        <w:rPr>
          <w:rFonts w:ascii="Times New Roman" w:hAnsi="Times New Roman" w:cs="Times New Roman"/>
          <w:b/>
          <w:bCs/>
          <w:color w:val="00B050"/>
          <w:sz w:val="20"/>
          <w:szCs w:val="22"/>
          <w:lang w:val="en-GB"/>
        </w:rPr>
        <w:t>Proposal 2: Agree the TP for QoE BL CR for TS 38.413 in R3-222501.</w:t>
      </w:r>
    </w:p>
    <w:bookmarkEnd w:id="4"/>
    <w:p w14:paraId="6492281E" w14:textId="77777777" w:rsidR="007C5F51" w:rsidRDefault="009A5809">
      <w:pPr>
        <w:pStyle w:val="Heading1"/>
        <w:rPr>
          <w:rFonts w:ascii="Arial" w:hAnsi="Arial" w:cs="Arial"/>
          <w:lang w:val="en-GB"/>
        </w:rPr>
      </w:pPr>
      <w:r>
        <w:rPr>
          <w:rFonts w:ascii="Arial" w:hAnsi="Arial" w:cs="Arial"/>
          <w:lang w:val="en-GB"/>
        </w:rPr>
        <w:lastRenderedPageBreak/>
        <w:t>Discussion</w:t>
      </w:r>
    </w:p>
    <w:p w14:paraId="561A0347" w14:textId="77777777" w:rsidR="007C5F51" w:rsidRDefault="009A5809">
      <w:pPr>
        <w:pStyle w:val="Heading2"/>
        <w:rPr>
          <w:rFonts w:ascii="Arial" w:hAnsi="Arial" w:cs="Arial"/>
          <w:lang w:val="en-GB"/>
        </w:rPr>
      </w:pPr>
      <w:r>
        <w:rPr>
          <w:rFonts w:ascii="Arial" w:hAnsi="Arial" w:cs="Arial"/>
          <w:lang w:val="en-GB"/>
        </w:rPr>
        <w:t>Slice ID in RVQoE report</w:t>
      </w:r>
    </w:p>
    <w:p w14:paraId="3EFCA8B7" w14:textId="77777777" w:rsidR="007C5F51" w:rsidRDefault="009A5809">
      <w:pPr>
        <w:rPr>
          <w:rFonts w:ascii="Times New Roman" w:hAnsi="Times New Roman" w:cs="Times New Roman"/>
          <w:sz w:val="20"/>
          <w:szCs w:val="20"/>
          <w:lang w:val="en-GB"/>
        </w:rPr>
      </w:pPr>
      <w:r>
        <w:rPr>
          <w:rFonts w:ascii="Times New Roman" w:hAnsi="Times New Roman" w:cs="Times New Roman"/>
          <w:b/>
          <w:bCs/>
          <w:color w:val="000000"/>
          <w:sz w:val="20"/>
          <w:szCs w:val="20"/>
          <w:lang w:val="en-GB"/>
        </w:rPr>
        <w:t xml:space="preserve">[Eri2507] </w:t>
      </w:r>
      <w:r>
        <w:rPr>
          <w:rFonts w:ascii="Times New Roman" w:hAnsi="Times New Roman" w:cs="Times New Roman"/>
          <w:color w:val="000000"/>
          <w:sz w:val="20"/>
          <w:szCs w:val="20"/>
          <w:lang w:val="en-GB"/>
        </w:rPr>
        <w:t>proposes that a</w:t>
      </w:r>
      <w:r>
        <w:rPr>
          <w:rFonts w:ascii="Times New Roman" w:hAnsi="Times New Roman" w:cs="Times New Roman"/>
          <w:sz w:val="20"/>
          <w:szCs w:val="20"/>
          <w:lang w:val="en-GB"/>
        </w:rPr>
        <w:t xml:space="preserve"> RVQoE report received from the UE can include the S-NSSAI used by the UE during the QoE measurement collection, and to liaise RAN2, SA4 and CT1 to request the signalling support for a slice identifier (S-NSSAI) in the RVQoE report.</w:t>
      </w:r>
    </w:p>
    <w:p w14:paraId="7DE139DC" w14:textId="77777777" w:rsidR="007C5F51" w:rsidRDefault="009A5809">
      <w:pPr>
        <w:rPr>
          <w:rFonts w:ascii="Times New Roman" w:hAnsi="Times New Roman" w:cs="Times New Roman"/>
          <w:sz w:val="20"/>
          <w:szCs w:val="20"/>
          <w:lang w:val="en-GB"/>
        </w:rPr>
      </w:pPr>
      <w:r>
        <w:rPr>
          <w:rFonts w:ascii="Times New Roman" w:hAnsi="Times New Roman" w:cs="Times New Roman"/>
          <w:b/>
          <w:bCs/>
          <w:color w:val="000000"/>
          <w:sz w:val="20"/>
          <w:szCs w:val="20"/>
          <w:lang w:val="en-GB"/>
        </w:rPr>
        <w:t xml:space="preserve">[Hua2222] </w:t>
      </w:r>
      <w:r>
        <w:rPr>
          <w:rFonts w:ascii="Times New Roman" w:hAnsi="Times New Roman" w:cs="Times New Roman"/>
          <w:color w:val="000000"/>
          <w:sz w:val="20"/>
          <w:szCs w:val="20"/>
          <w:lang w:val="en-GB"/>
        </w:rPr>
        <w:t>and</w:t>
      </w:r>
      <w:r>
        <w:rPr>
          <w:rFonts w:ascii="Times New Roman" w:hAnsi="Times New Roman" w:cs="Times New Roman"/>
          <w:b/>
          <w:bCs/>
          <w:color w:val="000000"/>
          <w:sz w:val="20"/>
          <w:szCs w:val="20"/>
          <w:lang w:val="en-GB"/>
        </w:rPr>
        <w:t xml:space="preserve"> [CATT2206] </w:t>
      </w:r>
      <w:r>
        <w:rPr>
          <w:rFonts w:ascii="Times New Roman" w:hAnsi="Times New Roman" w:cs="Times New Roman"/>
          <w:color w:val="000000"/>
          <w:sz w:val="20"/>
          <w:szCs w:val="20"/>
          <w:lang w:val="en-GB"/>
        </w:rPr>
        <w:t>suggest that the indication of</w:t>
      </w:r>
      <w:r>
        <w:rPr>
          <w:rFonts w:ascii="Times New Roman" w:hAnsi="Times New Roman" w:cs="Times New Roman"/>
          <w:b/>
          <w:bCs/>
          <w:color w:val="000000"/>
          <w:sz w:val="20"/>
          <w:szCs w:val="20"/>
          <w:lang w:val="en-GB"/>
        </w:rPr>
        <w:t xml:space="preserve"> </w:t>
      </w:r>
      <w:r>
        <w:rPr>
          <w:rFonts w:ascii="Times New Roman" w:hAnsi="Times New Roman" w:cs="Times New Roman"/>
          <w:sz w:val="20"/>
          <w:szCs w:val="20"/>
          <w:lang w:val="en-GB"/>
        </w:rPr>
        <w:t>PDU session ID in the RVQoE measurement report is enough and that there is no need to introduce the slice ID.</w:t>
      </w:r>
    </w:p>
    <w:p w14:paraId="4475B4C4" w14:textId="77777777" w:rsidR="007C5F51" w:rsidRDefault="009A5809">
      <w:pPr>
        <w:rPr>
          <w:rFonts w:ascii="Times New Roman" w:hAnsi="Times New Roman" w:cs="Times New Roman"/>
          <w:b/>
          <w:bCs/>
          <w:sz w:val="20"/>
          <w:szCs w:val="20"/>
          <w:lang w:val="en-GB"/>
        </w:rPr>
      </w:pPr>
      <w:r>
        <w:rPr>
          <w:rFonts w:ascii="Times New Roman" w:hAnsi="Times New Roman" w:cs="Times New Roman"/>
          <w:b/>
          <w:bCs/>
          <w:sz w:val="20"/>
          <w:szCs w:val="20"/>
          <w:lang w:val="en-GB"/>
        </w:rPr>
        <w:t>Q1: Should the slice identifier (S-NSSAI) be included in the RVQoE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7C5F51" w14:paraId="3870A5AA" w14:textId="77777777">
        <w:trPr>
          <w:trHeight w:val="325"/>
        </w:trPr>
        <w:tc>
          <w:tcPr>
            <w:tcW w:w="1378" w:type="dxa"/>
          </w:tcPr>
          <w:p w14:paraId="72A4A92E"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1FB2BB8"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0BC8FBCD"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C5F51" w14:paraId="5652E1DA" w14:textId="77777777">
        <w:trPr>
          <w:trHeight w:val="357"/>
        </w:trPr>
        <w:tc>
          <w:tcPr>
            <w:tcW w:w="1378" w:type="dxa"/>
          </w:tcPr>
          <w:p w14:paraId="54903B74"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C45C308"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5B57E757" w14:textId="77777777" w:rsidR="007C5F51" w:rsidRDefault="009A5809">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In our understanding, the reply LS from SA4 does not indicate that the mapping of an application to a PDU session ID is readily available at the App layer. In our understanding, the App layer could “dig out” the PDU session ID. On the other hand, the S-NSSAI is readily available at the App layer. The DU is the consumer of RVQoE and it knows the mapping between S-NSSAI and DRB ID, where the DRB is what ultimately needs to be modified. </w:t>
            </w:r>
          </w:p>
        </w:tc>
      </w:tr>
      <w:tr w:rsidR="007C5F51" w14:paraId="4FED47C2" w14:textId="77777777">
        <w:trPr>
          <w:trHeight w:val="342"/>
        </w:trPr>
        <w:tc>
          <w:tcPr>
            <w:tcW w:w="1378" w:type="dxa"/>
          </w:tcPr>
          <w:p w14:paraId="44AF3B97"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18DF011"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0D3F7859"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SA4 reply LS in S4-211225 clearly states that the application client can identify both the PDU session and S-NSSAI via the AT command as </w:t>
            </w:r>
            <w:r>
              <w:rPr>
                <w:rFonts w:ascii="Times New Roman" w:eastAsiaTheme="minorEastAsia" w:hAnsi="Times New Roman" w:cs="Times New Roman"/>
                <w:sz w:val="20"/>
                <w:szCs w:val="20"/>
                <w:highlight w:val="yellow"/>
                <w:lang w:val="en-GB" w:eastAsia="zh-CN"/>
              </w:rPr>
              <w:t>highlighted</w:t>
            </w:r>
            <w:r>
              <w:rPr>
                <w:rFonts w:ascii="Times New Roman" w:eastAsiaTheme="minorEastAsia" w:hAnsi="Times New Roman" w:cs="Times New Roman"/>
                <w:sz w:val="20"/>
                <w:szCs w:val="20"/>
                <w:lang w:val="en-GB" w:eastAsia="zh-CN"/>
              </w:rPr>
              <w:t xml:space="preserve"> here. Not sure why application has to “dig” out as E/// has commented above.</w:t>
            </w:r>
          </w:p>
          <w:p w14:paraId="56F89C56"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t>
            </w:r>
          </w:p>
          <w:p w14:paraId="1A927D51" w14:textId="77777777" w:rsidR="007C5F51" w:rsidRDefault="009A5809">
            <w:pPr>
              <w:spacing w:before="120" w:after="0"/>
              <w:rPr>
                <w:rFonts w:ascii="Times New Roman" w:eastAsiaTheme="minorEastAsia" w:hAnsi="Times New Roman" w:cs="Times New Roman"/>
                <w:i/>
                <w:iCs/>
                <w:sz w:val="20"/>
                <w:szCs w:val="20"/>
                <w:lang w:val="en-GB" w:eastAsia="zh-CN"/>
              </w:rPr>
            </w:pPr>
            <w:r>
              <w:rPr>
                <w:rFonts w:ascii="Times New Roman" w:eastAsiaTheme="minorEastAsia" w:hAnsi="Times New Roman" w:cs="Times New Roman"/>
                <w:i/>
                <w:iCs/>
                <w:sz w:val="20"/>
                <w:szCs w:val="20"/>
                <w:highlight w:val="yellow"/>
                <w:lang w:val="en-GB" w:eastAsia="zh-CN"/>
              </w:rPr>
              <w:t>The MSH and the MTSI client are able to identify the PDU session and the corresponding S-NSSAI and DNN, over which the media streaming session or the MTSI call is running. One way to discover the used S-NSSAI is through the +CGDCONT? AT command.</w:t>
            </w:r>
            <w:r>
              <w:rPr>
                <w:rFonts w:ascii="Times New Roman" w:eastAsiaTheme="minorEastAsia" w:hAnsi="Times New Roman" w:cs="Times New Roman"/>
                <w:i/>
                <w:iCs/>
                <w:sz w:val="20"/>
                <w:szCs w:val="20"/>
                <w:lang w:val="en-GB" w:eastAsia="zh-CN"/>
              </w:rPr>
              <w:t xml:space="preserve"> </w:t>
            </w:r>
          </w:p>
          <w:p w14:paraId="00DE3963" w14:textId="77777777" w:rsidR="007C5F51" w:rsidRDefault="009A5809">
            <w:pPr>
              <w:spacing w:before="120" w:after="0"/>
              <w:rPr>
                <w:rFonts w:ascii="Times New Roman" w:eastAsiaTheme="minorEastAsia" w:hAnsi="Times New Roman" w:cs="Times New Roman"/>
                <w:i/>
                <w:iCs/>
                <w:sz w:val="20"/>
                <w:szCs w:val="20"/>
                <w:lang w:val="en-GB" w:eastAsia="zh-CN"/>
              </w:rPr>
            </w:pPr>
            <w:r>
              <w:rPr>
                <w:rFonts w:ascii="Times New Roman" w:eastAsiaTheme="minorEastAsia" w:hAnsi="Times New Roman" w:cs="Times New Roman"/>
                <w:i/>
                <w:iCs/>
                <w:sz w:val="20"/>
                <w:szCs w:val="20"/>
                <w:lang w:val="en-GB" w:eastAsia="zh-CN"/>
              </w:rPr>
              <w:t>….</w:t>
            </w:r>
          </w:p>
          <w:p w14:paraId="684C3DD7"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NG-RAN should be able to map the PDU session ID to S-NSSAI if needed. Also please note CB#QoE5 also has a similar question, but also discusses QoS flow ID and DRB ID in addition to S-NSSAI.</w:t>
            </w:r>
          </w:p>
        </w:tc>
      </w:tr>
      <w:tr w:rsidR="007C5F51" w14:paraId="41049764" w14:textId="77777777">
        <w:trPr>
          <w:trHeight w:val="325"/>
        </w:trPr>
        <w:tc>
          <w:tcPr>
            <w:tcW w:w="1378" w:type="dxa"/>
          </w:tcPr>
          <w:p w14:paraId="5CE6BCEF"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 xml:space="preserve">uawei </w:t>
            </w:r>
          </w:p>
        </w:tc>
        <w:tc>
          <w:tcPr>
            <w:tcW w:w="1209" w:type="dxa"/>
          </w:tcPr>
          <w:p w14:paraId="1AEB0667"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45614E45"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already discussed, we think the inclusion of PDU session info would help understand the relation among service type, slice type and PDU session.</w:t>
            </w:r>
          </w:p>
        </w:tc>
      </w:tr>
      <w:tr w:rsidR="007C5F51" w14:paraId="4A86DF48" w14:textId="77777777">
        <w:trPr>
          <w:trHeight w:val="325"/>
        </w:trPr>
        <w:tc>
          <w:tcPr>
            <w:tcW w:w="1378" w:type="dxa"/>
          </w:tcPr>
          <w:p w14:paraId="6830A780" w14:textId="77777777" w:rsidR="007C5F51" w:rsidRDefault="009A5809">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China Unicom</w:t>
            </w:r>
          </w:p>
        </w:tc>
        <w:tc>
          <w:tcPr>
            <w:tcW w:w="1209" w:type="dxa"/>
          </w:tcPr>
          <w:p w14:paraId="2D96C0FA"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7200" w:type="dxa"/>
          </w:tcPr>
          <w:p w14:paraId="0B760ABE"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lice ID can be an option IE for slice related statistic for gNB convenient.</w:t>
            </w:r>
          </w:p>
        </w:tc>
      </w:tr>
      <w:tr w:rsidR="007C5F51" w14:paraId="1234D7DB" w14:textId="77777777">
        <w:trPr>
          <w:trHeight w:val="325"/>
        </w:trPr>
        <w:tc>
          <w:tcPr>
            <w:tcW w:w="1378" w:type="dxa"/>
          </w:tcPr>
          <w:p w14:paraId="3330B934"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6F3DD6E1"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w:t>
            </w:r>
          </w:p>
        </w:tc>
        <w:tc>
          <w:tcPr>
            <w:tcW w:w="7200" w:type="dxa"/>
          </w:tcPr>
          <w:p w14:paraId="32697185"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r>
              <w:rPr>
                <w:rFonts w:ascii="Times New Roman" w:eastAsiaTheme="minorEastAsia" w:hAnsi="Times New Roman" w:cs="Times New Roman" w:hint="eastAsia"/>
                <w:sz w:val="20"/>
                <w:szCs w:val="20"/>
                <w:lang w:val="en-GB" w:eastAsia="zh-CN"/>
              </w:rPr>
              <w:t xml:space="preserve"> with QC that NG-RAN can map </w:t>
            </w:r>
            <w:r>
              <w:rPr>
                <w:rFonts w:ascii="Times New Roman" w:eastAsiaTheme="minorEastAsia" w:hAnsi="Times New Roman" w:cs="Times New Roman"/>
                <w:sz w:val="20"/>
                <w:szCs w:val="20"/>
                <w:lang w:val="en-GB" w:eastAsia="zh-CN"/>
              </w:rPr>
              <w:t>the PDU session ID to S-NSSAI</w:t>
            </w:r>
            <w:r>
              <w:rPr>
                <w:rFonts w:ascii="Times New Roman" w:eastAsiaTheme="minorEastAsia" w:hAnsi="Times New Roman" w:cs="Times New Roman" w:hint="eastAsia"/>
                <w:sz w:val="20"/>
                <w:szCs w:val="20"/>
                <w:lang w:val="en-GB" w:eastAsia="zh-CN"/>
              </w:rPr>
              <w:t xml:space="preserve">, so </w:t>
            </w:r>
            <w:r>
              <w:rPr>
                <w:rFonts w:ascii="Times New Roman" w:eastAsiaTheme="minorEastAsia" w:hAnsi="Times New Roman" w:cs="Times New Roman"/>
                <w:sz w:val="20"/>
                <w:szCs w:val="20"/>
                <w:lang w:val="en-GB" w:eastAsia="zh-CN"/>
              </w:rPr>
              <w:t>indication of PDU session ID in the RVQoE measurement report is enough</w:t>
            </w:r>
            <w:r>
              <w:rPr>
                <w:rFonts w:ascii="Times New Roman" w:eastAsiaTheme="minorEastAsia" w:hAnsi="Times New Roman" w:cs="Times New Roman" w:hint="eastAsia"/>
                <w:sz w:val="20"/>
                <w:szCs w:val="20"/>
                <w:lang w:val="en-GB" w:eastAsia="zh-CN"/>
              </w:rPr>
              <w:t>.</w:t>
            </w:r>
          </w:p>
        </w:tc>
      </w:tr>
      <w:tr w:rsidR="007C5F51" w14:paraId="26D7B5A4" w14:textId="77777777">
        <w:trPr>
          <w:trHeight w:val="342"/>
        </w:trPr>
        <w:tc>
          <w:tcPr>
            <w:tcW w:w="1378" w:type="dxa"/>
          </w:tcPr>
          <w:p w14:paraId="1049AC8D"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Samsung </w:t>
            </w:r>
          </w:p>
        </w:tc>
        <w:tc>
          <w:tcPr>
            <w:tcW w:w="1209" w:type="dxa"/>
          </w:tcPr>
          <w:p w14:paraId="756D5557"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7E6FECAD"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7C5F51" w14:paraId="58633381" w14:textId="77777777">
        <w:trPr>
          <w:trHeight w:val="342"/>
        </w:trPr>
        <w:tc>
          <w:tcPr>
            <w:tcW w:w="1378" w:type="dxa"/>
          </w:tcPr>
          <w:p w14:paraId="3C6013BE"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4CE23E95"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Pr>
          <w:p w14:paraId="1E87BCD0"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QC. PDU session id is already enough.</w:t>
            </w:r>
          </w:p>
        </w:tc>
      </w:tr>
      <w:tr w:rsidR="007C5F51" w14:paraId="72E0485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0BBC1B0" w14:textId="271403C2" w:rsidR="007C5F51" w:rsidRDefault="005D323F">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6E02775E" w14:textId="60EAB2E5" w:rsidR="007C5F51" w:rsidRDefault="005D323F">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Borders>
              <w:top w:val="single" w:sz="4" w:space="0" w:color="auto"/>
              <w:left w:val="single" w:sz="4" w:space="0" w:color="auto"/>
              <w:bottom w:val="single" w:sz="4" w:space="0" w:color="auto"/>
              <w:right w:val="single" w:sz="4" w:space="0" w:color="auto"/>
            </w:tcBorders>
          </w:tcPr>
          <w:p w14:paraId="6FAA49DB" w14:textId="08CFD35A" w:rsidR="007C5F51" w:rsidRDefault="005D323F">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Agree with QC. PDU session id is </w:t>
            </w:r>
            <w:r w:rsidR="003A4C2E">
              <w:rPr>
                <w:rFonts w:ascii="Times New Roman" w:eastAsiaTheme="minorEastAsia" w:hAnsi="Times New Roman" w:cs="Times New Roman"/>
                <w:sz w:val="20"/>
                <w:szCs w:val="20"/>
                <w:lang w:eastAsia="zh-CN"/>
              </w:rPr>
              <w:t>needed, and is enough</w:t>
            </w:r>
            <w:r>
              <w:rPr>
                <w:rFonts w:ascii="Times New Roman" w:eastAsiaTheme="minorEastAsia" w:hAnsi="Times New Roman" w:cs="Times New Roman" w:hint="eastAsia"/>
                <w:sz w:val="20"/>
                <w:szCs w:val="20"/>
                <w:lang w:eastAsia="zh-CN"/>
              </w:rPr>
              <w:t>.</w:t>
            </w:r>
            <w:r w:rsidR="003A4C2E">
              <w:rPr>
                <w:rFonts w:ascii="Times New Roman" w:eastAsiaTheme="minorEastAsia" w:hAnsi="Times New Roman" w:cs="Times New Roman"/>
                <w:sz w:val="20"/>
                <w:szCs w:val="20"/>
                <w:lang w:eastAsia="zh-CN"/>
              </w:rPr>
              <w:t xml:space="preserve"> </w:t>
            </w:r>
          </w:p>
        </w:tc>
      </w:tr>
      <w:tr w:rsidR="007C5F51" w14:paraId="2734CC4C" w14:textId="77777777">
        <w:trPr>
          <w:trHeight w:val="325"/>
        </w:trPr>
        <w:tc>
          <w:tcPr>
            <w:tcW w:w="1378" w:type="dxa"/>
          </w:tcPr>
          <w:p w14:paraId="2145616B"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1209" w:type="dxa"/>
          </w:tcPr>
          <w:p w14:paraId="7DB717EA" w14:textId="77777777" w:rsidR="007C5F51" w:rsidRDefault="007C5F51">
            <w:pPr>
              <w:spacing w:before="120" w:after="0"/>
              <w:rPr>
                <w:rFonts w:ascii="Times New Roman" w:eastAsia="MS ??" w:hAnsi="Times New Roman" w:cs="Times New Roman"/>
                <w:sz w:val="20"/>
                <w:szCs w:val="20"/>
                <w:lang w:val="en-GB" w:eastAsia="zh-CN"/>
              </w:rPr>
            </w:pPr>
          </w:p>
        </w:tc>
        <w:tc>
          <w:tcPr>
            <w:tcW w:w="7200" w:type="dxa"/>
          </w:tcPr>
          <w:p w14:paraId="741D683C" w14:textId="77777777" w:rsidR="007C5F51" w:rsidRDefault="007C5F51">
            <w:pPr>
              <w:spacing w:before="120" w:after="0"/>
              <w:rPr>
                <w:rFonts w:ascii="Times New Roman" w:eastAsia="MS ??" w:hAnsi="Times New Roman" w:cs="Times New Roman"/>
                <w:sz w:val="20"/>
                <w:szCs w:val="20"/>
                <w:lang w:val="en-GB" w:eastAsia="zh-CN"/>
              </w:rPr>
            </w:pPr>
          </w:p>
        </w:tc>
      </w:tr>
    </w:tbl>
    <w:p w14:paraId="2F8E34E2" w14:textId="3BDBC4A2" w:rsidR="007C5F51" w:rsidRDefault="007C5F51">
      <w:pPr>
        <w:rPr>
          <w:rFonts w:ascii="Times New Roman" w:hAnsi="Times New Roman" w:cs="Times New Roman"/>
          <w:sz w:val="20"/>
          <w:szCs w:val="22"/>
          <w:lang w:val="en-GB"/>
        </w:rPr>
      </w:pPr>
    </w:p>
    <w:p w14:paraId="79135549" w14:textId="7CC97327" w:rsidR="009A75B7" w:rsidRPr="00943808" w:rsidRDefault="009A75B7">
      <w:pPr>
        <w:rPr>
          <w:rFonts w:ascii="Times New Roman" w:hAnsi="Times New Roman" w:cs="Times New Roman"/>
          <w:b/>
          <w:bCs/>
          <w:color w:val="0070C0"/>
          <w:sz w:val="20"/>
          <w:szCs w:val="22"/>
          <w:u w:val="single"/>
          <w:lang w:val="en-GB"/>
        </w:rPr>
      </w:pPr>
      <w:r w:rsidRPr="00943808">
        <w:rPr>
          <w:rFonts w:ascii="Times New Roman" w:hAnsi="Times New Roman" w:cs="Times New Roman"/>
          <w:b/>
          <w:bCs/>
          <w:color w:val="0070C0"/>
          <w:sz w:val="20"/>
          <w:szCs w:val="22"/>
          <w:u w:val="single"/>
          <w:lang w:val="en-GB"/>
        </w:rPr>
        <w:t>Summary:</w:t>
      </w:r>
    </w:p>
    <w:p w14:paraId="57539149" w14:textId="099F8A54" w:rsidR="009A75B7" w:rsidRPr="00943808" w:rsidRDefault="00943808">
      <w:pPr>
        <w:rPr>
          <w:rFonts w:ascii="Times New Roman" w:hAnsi="Times New Roman" w:cs="Times New Roman"/>
          <w:color w:val="0070C0"/>
          <w:sz w:val="20"/>
          <w:szCs w:val="22"/>
          <w:lang w:val="en-GB"/>
        </w:rPr>
      </w:pPr>
      <w:r w:rsidRPr="00943808">
        <w:rPr>
          <w:rFonts w:ascii="Times New Roman" w:hAnsi="Times New Roman" w:cs="Times New Roman"/>
          <w:color w:val="0070C0"/>
          <w:sz w:val="20"/>
          <w:szCs w:val="22"/>
          <w:lang w:val="en-GB"/>
        </w:rPr>
        <w:lastRenderedPageBreak/>
        <w:t>T</w:t>
      </w:r>
      <w:r w:rsidR="004F1F39">
        <w:rPr>
          <w:rFonts w:ascii="Times New Roman" w:hAnsi="Times New Roman" w:cs="Times New Roman"/>
          <w:color w:val="0070C0"/>
          <w:sz w:val="20"/>
          <w:szCs w:val="22"/>
          <w:lang w:val="en-GB"/>
        </w:rPr>
        <w:t>hree</w:t>
      </w:r>
      <w:r w:rsidRPr="00943808">
        <w:rPr>
          <w:rFonts w:ascii="Times New Roman" w:hAnsi="Times New Roman" w:cs="Times New Roman"/>
          <w:color w:val="0070C0"/>
          <w:sz w:val="20"/>
          <w:szCs w:val="22"/>
          <w:lang w:val="en-GB"/>
        </w:rPr>
        <w:t xml:space="preserve"> companies in favour, five against. No proposal.</w:t>
      </w:r>
    </w:p>
    <w:p w14:paraId="0A35D487" w14:textId="77777777" w:rsidR="007C5F51" w:rsidRDefault="007C5F51">
      <w:pPr>
        <w:ind w:left="-90"/>
        <w:rPr>
          <w:rFonts w:ascii="Times New Roman" w:hAnsi="Times New Roman" w:cs="Times New Roman"/>
          <w:sz w:val="20"/>
          <w:szCs w:val="22"/>
          <w:lang w:val="en-GB"/>
        </w:rPr>
      </w:pPr>
    </w:p>
    <w:p w14:paraId="4E26EFF8" w14:textId="77777777" w:rsidR="007C5F51" w:rsidRDefault="009A5809">
      <w:pPr>
        <w:pStyle w:val="Heading2"/>
        <w:rPr>
          <w:rFonts w:ascii="Arial" w:hAnsi="Arial" w:cs="Arial"/>
          <w:lang w:val="en-GB"/>
        </w:rPr>
      </w:pPr>
      <w:r>
        <w:rPr>
          <w:rFonts w:ascii="Arial" w:hAnsi="Arial" w:cs="Arial"/>
          <w:lang w:val="en-GB"/>
        </w:rPr>
        <w:t>Failure due to interaction with handover</w:t>
      </w:r>
    </w:p>
    <w:p w14:paraId="46D0EE63" w14:textId="77777777" w:rsidR="007C5F51" w:rsidRDefault="009A5809">
      <w:pPr>
        <w:rPr>
          <w:rFonts w:ascii="Times New Roman" w:hAnsi="Times New Roman" w:cs="Times New Roman"/>
          <w:b/>
          <w:bCs/>
          <w:sz w:val="20"/>
          <w:szCs w:val="20"/>
          <w:lang w:val="en-GB"/>
        </w:rPr>
      </w:pPr>
      <w:r>
        <w:rPr>
          <w:rFonts w:ascii="Times New Roman" w:hAnsi="Times New Roman" w:cs="Times New Roman"/>
          <w:b/>
          <w:bCs/>
          <w:color w:val="000000"/>
          <w:sz w:val="20"/>
          <w:szCs w:val="20"/>
          <w:lang w:val="en-GB"/>
        </w:rPr>
        <w:t xml:space="preserve">[CATT2205] </w:t>
      </w:r>
      <w:r>
        <w:rPr>
          <w:rFonts w:ascii="Times New Roman" w:hAnsi="Times New Roman" w:cs="Times New Roman"/>
          <w:color w:val="000000"/>
          <w:sz w:val="20"/>
          <w:szCs w:val="20"/>
          <w:lang w:val="en-GB"/>
        </w:rPr>
        <w:t>proposes that</w:t>
      </w:r>
      <w:r>
        <w:rPr>
          <w:rFonts w:ascii="Times New Roman" w:hAnsi="Times New Roman" w:cs="Times New Roman"/>
          <w:sz w:val="20"/>
          <w:szCs w:val="20"/>
          <w:lang w:val="en-GB"/>
        </w:rPr>
        <w:t xml:space="preserve"> NG-RAN sends a meaningless UE CONTEXT MODIFICATION RESPONSE to AMF immediately, no matter whether QMC (de)activation is successful or not. If the (de)activation fails, a UE CONTEXT MODIFICATION FAILURE message is initiated to AMF to indicate QMC (de)activation failure due to an interaction with a handover procedure. </w:t>
      </w:r>
    </w:p>
    <w:p w14:paraId="58561804" w14:textId="77777777" w:rsidR="007C5F51" w:rsidRDefault="009A5809">
      <w:pPr>
        <w:rPr>
          <w:rFonts w:ascii="Times New Roman" w:hAnsi="Times New Roman" w:cs="Times New Roman"/>
          <w:sz w:val="20"/>
          <w:szCs w:val="20"/>
          <w:lang w:val="en-GB"/>
        </w:rPr>
      </w:pPr>
      <w:r>
        <w:rPr>
          <w:rFonts w:ascii="Times New Roman" w:hAnsi="Times New Roman" w:cs="Times New Roman"/>
          <w:b/>
          <w:bCs/>
          <w:color w:val="000000"/>
          <w:sz w:val="20"/>
          <w:szCs w:val="20"/>
          <w:lang w:val="en-GB"/>
        </w:rPr>
        <w:t xml:space="preserve">[Eri2507] </w:t>
      </w:r>
      <w:r>
        <w:rPr>
          <w:rFonts w:ascii="Times New Roman" w:hAnsi="Times New Roman" w:cs="Times New Roman"/>
          <w:color w:val="000000"/>
          <w:sz w:val="20"/>
          <w:szCs w:val="20"/>
          <w:lang w:val="en-GB"/>
        </w:rPr>
        <w:t>proposes to a</w:t>
      </w:r>
      <w:r>
        <w:rPr>
          <w:rFonts w:ascii="Times New Roman" w:hAnsi="Times New Roman" w:cs="Times New Roman"/>
          <w:sz w:val="20"/>
          <w:szCs w:val="20"/>
          <w:lang w:val="en-GB"/>
        </w:rPr>
        <w:t xml:space="preserve">ddress the scenario of (de)activation failure due to an interaction with a handover procedure in a future release. </w:t>
      </w:r>
      <w:r>
        <w:rPr>
          <w:rFonts w:ascii="Times New Roman" w:hAnsi="Times New Roman" w:cs="Times New Roman"/>
          <w:b/>
          <w:bCs/>
          <w:color w:val="000000"/>
          <w:sz w:val="20"/>
          <w:szCs w:val="20"/>
          <w:lang w:val="en-GB"/>
        </w:rPr>
        <w:t xml:space="preserve">[Hua2222] </w:t>
      </w:r>
      <w:r>
        <w:rPr>
          <w:rFonts w:ascii="Times New Roman" w:hAnsi="Times New Roman" w:cs="Times New Roman"/>
          <w:color w:val="000000"/>
          <w:sz w:val="20"/>
          <w:szCs w:val="20"/>
          <w:lang w:val="en-GB"/>
        </w:rPr>
        <w:t>suggests reusing</w:t>
      </w:r>
      <w:r>
        <w:rPr>
          <w:rFonts w:ascii="Times New Roman" w:hAnsi="Times New Roman" w:cs="Times New Roman"/>
          <w:sz w:val="20"/>
          <w:szCs w:val="20"/>
          <w:lang w:val="en-GB"/>
        </w:rPr>
        <w:t xml:space="preserve"> the existing procedure to indicate QMC (de)activation failure due to an interaction with a handover procedure. No enhancement is needed. </w:t>
      </w:r>
    </w:p>
    <w:p w14:paraId="79E4394D" w14:textId="77777777" w:rsidR="007C5F51" w:rsidRDefault="009A5809">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 Are any enhancements needed to enable the scenario described by </w:t>
      </w:r>
      <w:r>
        <w:rPr>
          <w:rFonts w:ascii="Times New Roman" w:hAnsi="Times New Roman" w:cs="Times New Roman"/>
          <w:b/>
          <w:bCs/>
          <w:color w:val="000000"/>
          <w:sz w:val="20"/>
          <w:szCs w:val="20"/>
          <w:lang w:val="en-GB"/>
        </w:rPr>
        <w:t>[CATT2205]</w:t>
      </w:r>
      <w:r>
        <w:rPr>
          <w:rFonts w:ascii="Times New Roman" w:hAnsi="Times New Roman" w:cs="Times New Roman"/>
          <w:b/>
          <w:bCs/>
          <w:sz w:val="20"/>
          <w:szCs w:val="20"/>
          <w:lang w:val="en-GB"/>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7C5F51" w14:paraId="4DAA8FD2" w14:textId="77777777">
        <w:trPr>
          <w:trHeight w:val="325"/>
        </w:trPr>
        <w:tc>
          <w:tcPr>
            <w:tcW w:w="1378" w:type="dxa"/>
          </w:tcPr>
          <w:p w14:paraId="437735BC"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4F554364"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150721DB"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C5F51" w14:paraId="0414E2F2" w14:textId="77777777">
        <w:trPr>
          <w:trHeight w:val="357"/>
        </w:trPr>
        <w:tc>
          <w:tcPr>
            <w:tcW w:w="1378" w:type="dxa"/>
          </w:tcPr>
          <w:p w14:paraId="235C4D26"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70866D3"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Not in this release</w:t>
            </w:r>
          </w:p>
        </w:tc>
        <w:tc>
          <w:tcPr>
            <w:tcW w:w="7200" w:type="dxa"/>
          </w:tcPr>
          <w:p w14:paraId="085D7317" w14:textId="77777777" w:rsidR="007C5F51" w:rsidRDefault="009A5809">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For Rel-17, it is good enough to assume that the scenario can be avoided by the RAN node configuring the UE with QMC before handing it over. Any other WF at this time would be a hack. </w:t>
            </w:r>
          </w:p>
        </w:tc>
      </w:tr>
      <w:tr w:rsidR="007C5F51" w14:paraId="624124CE" w14:textId="77777777">
        <w:trPr>
          <w:trHeight w:val="342"/>
        </w:trPr>
        <w:tc>
          <w:tcPr>
            <w:tcW w:w="1378" w:type="dxa"/>
          </w:tcPr>
          <w:p w14:paraId="30530A1F"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CB8278B"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 strong view</w:t>
            </w:r>
          </w:p>
        </w:tc>
        <w:tc>
          <w:tcPr>
            <w:tcW w:w="7200" w:type="dxa"/>
          </w:tcPr>
          <w:p w14:paraId="3FD1E8FF"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 that this could be a corner case scenario and can be avoided by RAN configuring the UE at an appropriate time.</w:t>
            </w:r>
          </w:p>
          <w:p w14:paraId="72E44EE2"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But if we don’t want to initiate UE CONTEXT MODFICATION FAILURE and introduce new cause values informing the AMF upon such a scenario in Rel-17, we should at least have a stage-2 text mentioning that this can be handled via NG-RAN implementation. </w:t>
            </w:r>
          </w:p>
          <w:p w14:paraId="3BB3228C"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Alternatively, we are fine if we handle this via specification support as well as per CATT’s proposal. </w:t>
            </w:r>
          </w:p>
        </w:tc>
      </w:tr>
      <w:tr w:rsidR="007C5F51" w14:paraId="1E494700" w14:textId="77777777">
        <w:trPr>
          <w:trHeight w:val="325"/>
        </w:trPr>
        <w:tc>
          <w:tcPr>
            <w:tcW w:w="1378" w:type="dxa"/>
          </w:tcPr>
          <w:p w14:paraId="782DEBC4"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 xml:space="preserve">uawei </w:t>
            </w:r>
          </w:p>
        </w:tc>
        <w:tc>
          <w:tcPr>
            <w:tcW w:w="1209" w:type="dxa"/>
          </w:tcPr>
          <w:p w14:paraId="14BAC4DA"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Maybe not</w:t>
            </w:r>
          </w:p>
        </w:tc>
        <w:tc>
          <w:tcPr>
            <w:tcW w:w="7200" w:type="dxa"/>
          </w:tcPr>
          <w:p w14:paraId="5C1EA268"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pointed in our discussion, existing procedure could be reused if this issue is to be recognized and solved.</w:t>
            </w:r>
          </w:p>
        </w:tc>
      </w:tr>
      <w:tr w:rsidR="007C5F51" w14:paraId="5A30B055" w14:textId="77777777">
        <w:trPr>
          <w:trHeight w:val="325"/>
        </w:trPr>
        <w:tc>
          <w:tcPr>
            <w:tcW w:w="1378" w:type="dxa"/>
          </w:tcPr>
          <w:p w14:paraId="7C358EF5" w14:textId="77777777" w:rsidR="007C5F51" w:rsidRDefault="009A5809">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1209" w:type="dxa"/>
          </w:tcPr>
          <w:p w14:paraId="2DBA438B"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Ericsson</w:t>
            </w:r>
          </w:p>
        </w:tc>
        <w:tc>
          <w:tcPr>
            <w:tcW w:w="7200" w:type="dxa"/>
          </w:tcPr>
          <w:p w14:paraId="5DBDECC2" w14:textId="77777777" w:rsidR="007C5F51" w:rsidRDefault="007C5F51">
            <w:pPr>
              <w:spacing w:before="120" w:after="0"/>
              <w:rPr>
                <w:rFonts w:ascii="Times New Roman" w:eastAsiaTheme="minorEastAsia" w:hAnsi="Times New Roman" w:cs="Times New Roman"/>
                <w:sz w:val="20"/>
                <w:szCs w:val="20"/>
                <w:lang w:val="en-GB" w:eastAsia="zh-CN"/>
              </w:rPr>
            </w:pPr>
          </w:p>
        </w:tc>
      </w:tr>
      <w:tr w:rsidR="007C5F51" w14:paraId="731698AE" w14:textId="77777777">
        <w:trPr>
          <w:trHeight w:val="325"/>
        </w:trPr>
        <w:tc>
          <w:tcPr>
            <w:tcW w:w="1378" w:type="dxa"/>
          </w:tcPr>
          <w:p w14:paraId="18E98F43"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329C3C6"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dd text in </w:t>
            </w:r>
            <w:r>
              <w:rPr>
                <w:rFonts w:ascii="Times New Roman" w:eastAsiaTheme="minorEastAsia" w:hAnsi="Times New Roman" w:cs="Times New Roman"/>
                <w:sz w:val="20"/>
                <w:szCs w:val="20"/>
                <w:lang w:val="en-GB" w:eastAsia="zh-CN"/>
              </w:rPr>
              <w:t>UE CONTEXT MODIFICATION FAILURE</w:t>
            </w:r>
          </w:p>
        </w:tc>
        <w:tc>
          <w:tcPr>
            <w:tcW w:w="7200" w:type="dxa"/>
          </w:tcPr>
          <w:p w14:paraId="044852E2"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e do not think it is a corner case as trace activation has considered the interaction with handover.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s there any difference with trace procedures? </w:t>
            </w: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e shall take the same criteria to judge whether it is a corner case. </w:t>
            </w: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ctually, </w:t>
            </w:r>
            <w:r>
              <w:rPr>
                <w:rFonts w:ascii="Times New Roman" w:eastAsiaTheme="minorEastAsia" w:hAnsi="Times New Roman" w:cs="Times New Roman"/>
                <w:sz w:val="20"/>
                <w:szCs w:val="20"/>
                <w:lang w:val="en-GB" w:eastAsia="zh-CN"/>
              </w:rPr>
              <w:t>H</w:t>
            </w:r>
            <w:r>
              <w:rPr>
                <w:rFonts w:ascii="Times New Roman" w:eastAsiaTheme="minorEastAsia" w:hAnsi="Times New Roman" w:cs="Times New Roman" w:hint="eastAsia"/>
                <w:sz w:val="20"/>
                <w:szCs w:val="20"/>
                <w:lang w:val="en-GB" w:eastAsia="zh-CN"/>
              </w:rPr>
              <w:t xml:space="preserve">andover procedure is common case and for most </w:t>
            </w:r>
            <w:r>
              <w:rPr>
                <w:rFonts w:ascii="Times New Roman" w:eastAsiaTheme="minorEastAsia" w:hAnsi="Times New Roman" w:cs="Times New Roman"/>
                <w:sz w:val="20"/>
                <w:szCs w:val="20"/>
                <w:lang w:val="en-GB" w:eastAsia="zh-CN"/>
              </w:rPr>
              <w:t>of procedures</w:t>
            </w:r>
            <w:r>
              <w:rPr>
                <w:rFonts w:ascii="Times New Roman" w:eastAsiaTheme="minorEastAsia" w:hAnsi="Times New Roman" w:cs="Times New Roman" w:hint="eastAsia"/>
                <w:sz w:val="20"/>
                <w:szCs w:val="20"/>
                <w:lang w:val="en-GB" w:eastAsia="zh-CN"/>
              </w:rPr>
              <w:t xml:space="preserve">, the description on interaction with handover has been captured in 38.413.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 xml:space="preserve">o, we think it is a legacy requirement to </w:t>
            </w:r>
            <w:r>
              <w:rPr>
                <w:rFonts w:ascii="Times New Roman" w:eastAsiaTheme="minorEastAsia" w:hAnsi="Times New Roman" w:cs="Times New Roman"/>
                <w:sz w:val="20"/>
                <w:szCs w:val="20"/>
                <w:lang w:val="en-GB" w:eastAsia="zh-CN"/>
              </w:rPr>
              <w:t>describe</w:t>
            </w:r>
            <w:r>
              <w:rPr>
                <w:rFonts w:ascii="Times New Roman" w:eastAsiaTheme="minorEastAsia" w:hAnsi="Times New Roman" w:cs="Times New Roman" w:hint="eastAsia"/>
                <w:sz w:val="20"/>
                <w:szCs w:val="20"/>
                <w:lang w:val="en-GB" w:eastAsia="zh-CN"/>
              </w:rPr>
              <w:t xml:space="preserve"> the interaction with handover.  </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 xml:space="preserve">o we add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text description for this case. </w:t>
            </w:r>
          </w:p>
          <w:p w14:paraId="65A0544F" w14:textId="77777777" w:rsidR="007C5F51" w:rsidRDefault="009A5809">
            <w:pPr>
              <w:tabs>
                <w:tab w:val="right" w:pos="9641"/>
              </w:tabs>
              <w:rPr>
                <w:rFonts w:eastAsiaTheme="minorEastAsia"/>
                <w:i/>
                <w:color w:val="FF0000"/>
                <w:sz w:val="20"/>
                <w:lang w:eastAsia="zh-CN"/>
              </w:rPr>
            </w:pPr>
            <w:r>
              <w:rPr>
                <w:color w:val="FF0000"/>
                <w:sz w:val="20"/>
              </w:rPr>
              <w:t xml:space="preserve">If the </w:t>
            </w:r>
            <w:r>
              <w:rPr>
                <w:i/>
                <w:color w:val="FF0000"/>
                <w:sz w:val="20"/>
              </w:rPr>
              <w:t xml:space="preserve">QMC </w:t>
            </w:r>
            <w:r>
              <w:rPr>
                <w:rFonts w:hint="eastAsia"/>
                <w:i/>
                <w:color w:val="FF0000"/>
                <w:sz w:val="20"/>
              </w:rPr>
              <w:t>(de)</w:t>
            </w:r>
            <w:r>
              <w:rPr>
                <w:i/>
                <w:color w:val="FF0000"/>
                <w:sz w:val="20"/>
              </w:rPr>
              <w:t xml:space="preserve">activation </w:t>
            </w:r>
            <w:r>
              <w:rPr>
                <w:color w:val="FF0000"/>
                <w:sz w:val="20"/>
              </w:rPr>
              <w:t>IE is included in the UE CONTEXT MODIFICATION REQUEST message, the NG-RAN node may</w:t>
            </w:r>
            <w:r>
              <w:rPr>
                <w:rFonts w:hint="eastAsia"/>
                <w:color w:val="FF0000"/>
                <w:sz w:val="20"/>
              </w:rPr>
              <w:t xml:space="preserve"> initiate</w:t>
            </w:r>
            <w:r>
              <w:rPr>
                <w:color w:val="FF0000"/>
                <w:sz w:val="20"/>
              </w:rPr>
              <w:t xml:space="preserve"> UE CONTEXT MODIFICATION FAILURE message</w:t>
            </w:r>
            <w:r>
              <w:rPr>
                <w:rFonts w:hint="eastAsia"/>
                <w:color w:val="FF0000"/>
                <w:sz w:val="20"/>
              </w:rPr>
              <w:t xml:space="preserve"> due to </w:t>
            </w:r>
            <w:r>
              <w:rPr>
                <w:color w:val="FF0000"/>
                <w:sz w:val="20"/>
              </w:rPr>
              <w:t>an interaction with a handover procedure</w:t>
            </w:r>
            <w:r>
              <w:rPr>
                <w:rFonts w:hint="eastAsia"/>
                <w:color w:val="FF0000"/>
                <w:sz w:val="20"/>
              </w:rPr>
              <w:t>.</w:t>
            </w:r>
          </w:p>
          <w:p w14:paraId="52CF3AFB"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here is no ASN.1 IE introduced</w:t>
            </w:r>
          </w:p>
        </w:tc>
      </w:tr>
      <w:tr w:rsidR="007C5F51" w14:paraId="3231D49C" w14:textId="77777777">
        <w:trPr>
          <w:trHeight w:val="325"/>
        </w:trPr>
        <w:tc>
          <w:tcPr>
            <w:tcW w:w="1378" w:type="dxa"/>
          </w:tcPr>
          <w:p w14:paraId="44EC41D3"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w:t>
            </w:r>
          </w:p>
        </w:tc>
        <w:tc>
          <w:tcPr>
            <w:tcW w:w="1209" w:type="dxa"/>
          </w:tcPr>
          <w:p w14:paraId="36A603CF"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7200" w:type="dxa"/>
          </w:tcPr>
          <w:p w14:paraId="19ECF2F8"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Fine with CATT’s proposal</w:t>
            </w:r>
          </w:p>
        </w:tc>
      </w:tr>
      <w:tr w:rsidR="007C5F51" w14:paraId="0ED65D1A" w14:textId="77777777">
        <w:trPr>
          <w:trHeight w:val="342"/>
        </w:trPr>
        <w:tc>
          <w:tcPr>
            <w:tcW w:w="1378" w:type="dxa"/>
          </w:tcPr>
          <w:p w14:paraId="3CB62735"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1209" w:type="dxa"/>
          </w:tcPr>
          <w:p w14:paraId="330B017C"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Not in this release</w:t>
            </w:r>
          </w:p>
        </w:tc>
        <w:tc>
          <w:tcPr>
            <w:tcW w:w="7200" w:type="dxa"/>
          </w:tcPr>
          <w:p w14:paraId="4844B4BC"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Ericsson.</w:t>
            </w:r>
          </w:p>
        </w:tc>
      </w:tr>
      <w:tr w:rsidR="007C5F51" w14:paraId="1EA2A812" w14:textId="77777777">
        <w:trPr>
          <w:trHeight w:val="342"/>
        </w:trPr>
        <w:tc>
          <w:tcPr>
            <w:tcW w:w="1378" w:type="dxa"/>
          </w:tcPr>
          <w:p w14:paraId="50BE68E4" w14:textId="18E3AF8B" w:rsidR="007C5F51" w:rsidRDefault="005039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33CAC061" w14:textId="273033CD" w:rsidR="007C5F51" w:rsidRDefault="005039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04432302" w14:textId="1DA3E7E4" w:rsidR="007C5F51" w:rsidRDefault="005039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believe that HO trigger is time critical and will have higher priority than configuring the UE with QMC. But our understanding is that, as per current BL CRs, any received QMC configuration that could not be delivered to the UE is forwarded to the target node which will configure the UE. So no additional mechanism is needed.</w:t>
            </w:r>
          </w:p>
        </w:tc>
      </w:tr>
      <w:tr w:rsidR="007C5F51" w14:paraId="4077DB9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11671AF"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35143ACA"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42026A8" w14:textId="77777777" w:rsidR="007C5F51" w:rsidRDefault="007C5F51">
            <w:pPr>
              <w:spacing w:before="120" w:after="0"/>
              <w:rPr>
                <w:rFonts w:ascii="Times New Roman" w:eastAsiaTheme="minorEastAsia" w:hAnsi="Times New Roman" w:cs="Times New Roman"/>
                <w:sz w:val="20"/>
                <w:szCs w:val="20"/>
                <w:lang w:val="en-GB" w:eastAsia="zh-CN"/>
              </w:rPr>
            </w:pPr>
          </w:p>
        </w:tc>
      </w:tr>
      <w:tr w:rsidR="007C5F51" w14:paraId="40BA88F7" w14:textId="77777777">
        <w:trPr>
          <w:trHeight w:val="325"/>
        </w:trPr>
        <w:tc>
          <w:tcPr>
            <w:tcW w:w="1378" w:type="dxa"/>
          </w:tcPr>
          <w:p w14:paraId="5130F50B"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1209" w:type="dxa"/>
          </w:tcPr>
          <w:p w14:paraId="5E358D1F" w14:textId="77777777" w:rsidR="007C5F51" w:rsidRDefault="007C5F51">
            <w:pPr>
              <w:spacing w:before="120" w:after="0"/>
              <w:rPr>
                <w:rFonts w:ascii="Times New Roman" w:eastAsia="MS ??" w:hAnsi="Times New Roman" w:cs="Times New Roman"/>
                <w:sz w:val="20"/>
                <w:szCs w:val="20"/>
                <w:lang w:val="en-GB" w:eastAsia="zh-CN"/>
              </w:rPr>
            </w:pPr>
          </w:p>
        </w:tc>
        <w:tc>
          <w:tcPr>
            <w:tcW w:w="7200" w:type="dxa"/>
          </w:tcPr>
          <w:p w14:paraId="4773CE34" w14:textId="77777777" w:rsidR="007C5F51" w:rsidRDefault="007C5F51">
            <w:pPr>
              <w:spacing w:before="120" w:after="0"/>
              <w:rPr>
                <w:rFonts w:ascii="Times New Roman" w:eastAsia="MS ??" w:hAnsi="Times New Roman" w:cs="Times New Roman"/>
                <w:sz w:val="20"/>
                <w:szCs w:val="20"/>
                <w:lang w:val="en-GB" w:eastAsia="zh-CN"/>
              </w:rPr>
            </w:pPr>
          </w:p>
        </w:tc>
      </w:tr>
    </w:tbl>
    <w:p w14:paraId="4F255108" w14:textId="77777777" w:rsidR="007C5F51" w:rsidRDefault="007C5F51">
      <w:pPr>
        <w:ind w:left="-90"/>
        <w:rPr>
          <w:rFonts w:ascii="Times New Roman" w:hAnsi="Times New Roman" w:cs="Times New Roman"/>
          <w:sz w:val="20"/>
          <w:szCs w:val="22"/>
          <w:lang w:val="en-GB"/>
        </w:rPr>
      </w:pPr>
    </w:p>
    <w:p w14:paraId="5EA6C66C" w14:textId="77777777" w:rsidR="00943808" w:rsidRPr="00943808" w:rsidRDefault="00943808" w:rsidP="00943808">
      <w:pPr>
        <w:rPr>
          <w:rFonts w:ascii="Times New Roman" w:hAnsi="Times New Roman" w:cs="Times New Roman"/>
          <w:b/>
          <w:bCs/>
          <w:color w:val="0070C0"/>
          <w:sz w:val="20"/>
          <w:szCs w:val="22"/>
          <w:u w:val="single"/>
          <w:lang w:val="en-GB"/>
        </w:rPr>
      </w:pPr>
      <w:r w:rsidRPr="00943808">
        <w:rPr>
          <w:rFonts w:ascii="Times New Roman" w:hAnsi="Times New Roman" w:cs="Times New Roman"/>
          <w:b/>
          <w:bCs/>
          <w:color w:val="0070C0"/>
          <w:sz w:val="20"/>
          <w:szCs w:val="22"/>
          <w:u w:val="single"/>
          <w:lang w:val="en-GB"/>
        </w:rPr>
        <w:t>Summary:</w:t>
      </w:r>
    </w:p>
    <w:p w14:paraId="71B4E72E" w14:textId="108362D4" w:rsidR="00943808" w:rsidRPr="00943808" w:rsidRDefault="009455AB" w:rsidP="00943808">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Two</w:t>
      </w:r>
      <w:r w:rsidR="004F1F39">
        <w:rPr>
          <w:rFonts w:ascii="Times New Roman" w:hAnsi="Times New Roman" w:cs="Times New Roman"/>
          <w:color w:val="0070C0"/>
          <w:sz w:val="20"/>
          <w:szCs w:val="22"/>
          <w:lang w:val="en-GB"/>
        </w:rPr>
        <w:t xml:space="preserve"> </w:t>
      </w:r>
      <w:r w:rsidR="00943808" w:rsidRPr="00943808">
        <w:rPr>
          <w:rFonts w:ascii="Times New Roman" w:hAnsi="Times New Roman" w:cs="Times New Roman"/>
          <w:color w:val="0070C0"/>
          <w:sz w:val="20"/>
          <w:szCs w:val="22"/>
          <w:lang w:val="en-GB"/>
        </w:rPr>
        <w:t>compan</w:t>
      </w:r>
      <w:r>
        <w:rPr>
          <w:rFonts w:ascii="Times New Roman" w:hAnsi="Times New Roman" w:cs="Times New Roman"/>
          <w:color w:val="0070C0"/>
          <w:sz w:val="20"/>
          <w:szCs w:val="22"/>
          <w:lang w:val="en-GB"/>
        </w:rPr>
        <w:t>ies</w:t>
      </w:r>
      <w:r w:rsidR="00943808" w:rsidRPr="00943808">
        <w:rPr>
          <w:rFonts w:ascii="Times New Roman" w:hAnsi="Times New Roman" w:cs="Times New Roman"/>
          <w:color w:val="0070C0"/>
          <w:sz w:val="20"/>
          <w:szCs w:val="22"/>
          <w:lang w:val="en-GB"/>
        </w:rPr>
        <w:t xml:space="preserve"> in favour, </w:t>
      </w:r>
      <w:r w:rsidR="004F1F39">
        <w:rPr>
          <w:rFonts w:ascii="Times New Roman" w:hAnsi="Times New Roman" w:cs="Times New Roman"/>
          <w:color w:val="0070C0"/>
          <w:sz w:val="20"/>
          <w:szCs w:val="22"/>
          <w:lang w:val="en-GB"/>
        </w:rPr>
        <w:t xml:space="preserve">one without a strong view, </w:t>
      </w:r>
      <w:r w:rsidR="00943808" w:rsidRPr="00943808">
        <w:rPr>
          <w:rFonts w:ascii="Times New Roman" w:hAnsi="Times New Roman" w:cs="Times New Roman"/>
          <w:color w:val="0070C0"/>
          <w:sz w:val="20"/>
          <w:szCs w:val="22"/>
          <w:lang w:val="en-GB"/>
        </w:rPr>
        <w:t>five against. No proposal.</w:t>
      </w:r>
    </w:p>
    <w:p w14:paraId="65A28FEC" w14:textId="77777777" w:rsidR="007C5F51" w:rsidRDefault="007C5F51">
      <w:pPr>
        <w:ind w:left="-90"/>
        <w:rPr>
          <w:rFonts w:ascii="Times New Roman" w:hAnsi="Times New Roman" w:cs="Times New Roman"/>
          <w:sz w:val="20"/>
          <w:szCs w:val="22"/>
          <w:lang w:val="en-GB"/>
        </w:rPr>
      </w:pPr>
    </w:p>
    <w:p w14:paraId="28783FC8" w14:textId="77777777" w:rsidR="007C5F51" w:rsidRDefault="009A5809">
      <w:pPr>
        <w:pStyle w:val="Heading2"/>
        <w:rPr>
          <w:rFonts w:ascii="Arial" w:hAnsi="Arial" w:cs="Arial"/>
          <w:lang w:val="en-GB"/>
        </w:rPr>
      </w:pPr>
      <w:r>
        <w:rPr>
          <w:rFonts w:ascii="Arial" w:hAnsi="Arial" w:cs="Arial"/>
          <w:lang w:val="en-GB"/>
        </w:rPr>
        <w:t>Recording session indication to the NM</w:t>
      </w:r>
    </w:p>
    <w:p w14:paraId="2833967A" w14:textId="77777777" w:rsidR="007C5F51" w:rsidRDefault="009A5809">
      <w:pPr>
        <w:rPr>
          <w:rFonts w:ascii="Times New Roman" w:hAnsi="Times New Roman" w:cs="Times New Roman"/>
          <w:b/>
          <w:bCs/>
          <w:sz w:val="20"/>
          <w:szCs w:val="20"/>
          <w:lang w:val="en-GB"/>
        </w:rPr>
      </w:pPr>
      <w:r>
        <w:rPr>
          <w:rFonts w:ascii="Times New Roman" w:hAnsi="Times New Roman" w:cs="Times New Roman"/>
          <w:b/>
          <w:bCs/>
          <w:color w:val="000000"/>
          <w:sz w:val="20"/>
          <w:szCs w:val="20"/>
          <w:lang w:val="en-GB"/>
        </w:rPr>
        <w:t xml:space="preserve">[CATT2205] </w:t>
      </w:r>
      <w:r>
        <w:rPr>
          <w:rFonts w:ascii="Times New Roman" w:hAnsi="Times New Roman" w:cs="Times New Roman"/>
          <w:sz w:val="20"/>
          <w:szCs w:val="20"/>
          <w:lang w:val="en-GB"/>
        </w:rPr>
        <w:t>proposes to reuse CELL TRAFFIC TRACE NGAP message to provide TR/TRSR from NG-RAN to 5GC. The reason is step 9 in subsection 4.2.1 of TS 28.405, saying that, for m-based QoE, the eNB reports the recording session indication to the NM.</w:t>
      </w:r>
    </w:p>
    <w:p w14:paraId="5E209059" w14:textId="77777777" w:rsidR="007C5F51" w:rsidRDefault="009A5809">
      <w:pPr>
        <w:rPr>
          <w:rFonts w:ascii="Times New Roman" w:hAnsi="Times New Roman" w:cs="Times New Roman"/>
          <w:b/>
          <w:bCs/>
          <w:sz w:val="20"/>
          <w:szCs w:val="20"/>
          <w:lang w:val="en-GB"/>
        </w:rPr>
      </w:pPr>
      <w:r>
        <w:rPr>
          <w:rFonts w:ascii="Times New Roman" w:hAnsi="Times New Roman" w:cs="Times New Roman"/>
          <w:b/>
          <w:bCs/>
          <w:sz w:val="20"/>
          <w:szCs w:val="20"/>
          <w:lang w:val="en-GB"/>
        </w:rPr>
        <w:t>Q3-1: Should the NG-RAN report the recording session indication to the 5GC?</w:t>
      </w:r>
    </w:p>
    <w:p w14:paraId="224E91DB" w14:textId="77777777" w:rsidR="007C5F51" w:rsidRDefault="009A5809">
      <w:pPr>
        <w:rPr>
          <w:rFonts w:ascii="Times New Roman" w:hAnsi="Times New Roman" w:cs="Times New Roman"/>
          <w:b/>
          <w:bCs/>
          <w:sz w:val="20"/>
          <w:szCs w:val="20"/>
          <w:lang w:val="en-GB"/>
        </w:rPr>
      </w:pPr>
      <w:r>
        <w:rPr>
          <w:rFonts w:ascii="Times New Roman" w:hAnsi="Times New Roman" w:cs="Times New Roman"/>
          <w:b/>
          <w:bCs/>
          <w:sz w:val="20"/>
          <w:szCs w:val="20"/>
          <w:lang w:val="en-GB"/>
        </w:rPr>
        <w:t>Q3-2:  If you answered “yes”, which NGAP message should be used?</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839"/>
        <w:gridCol w:w="6570"/>
      </w:tblGrid>
      <w:tr w:rsidR="007C5F51" w14:paraId="0FC331B5" w14:textId="77777777">
        <w:trPr>
          <w:trHeight w:val="325"/>
        </w:trPr>
        <w:tc>
          <w:tcPr>
            <w:tcW w:w="1378" w:type="dxa"/>
          </w:tcPr>
          <w:p w14:paraId="3B3E4B23"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839" w:type="dxa"/>
          </w:tcPr>
          <w:p w14:paraId="5FD5499E"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570" w:type="dxa"/>
          </w:tcPr>
          <w:p w14:paraId="14760C51"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C5F51" w14:paraId="08118A5C" w14:textId="77777777">
        <w:trPr>
          <w:trHeight w:val="357"/>
        </w:trPr>
        <w:tc>
          <w:tcPr>
            <w:tcW w:w="1378" w:type="dxa"/>
          </w:tcPr>
          <w:p w14:paraId="4E569BA9"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839" w:type="dxa"/>
          </w:tcPr>
          <w:p w14:paraId="6B9E70FE" w14:textId="77777777" w:rsidR="007C5F51" w:rsidRDefault="009A5809">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Q3-1:</w:t>
            </w:r>
            <w:r>
              <w:rPr>
                <w:rFonts w:ascii="Times New Roman" w:hAnsi="Times New Roman" w:cs="Times New Roman"/>
                <w:sz w:val="20"/>
                <w:szCs w:val="20"/>
                <w:lang w:val="en-GB"/>
              </w:rPr>
              <w:t xml:space="preserve"> Liaise SA5.</w:t>
            </w:r>
          </w:p>
          <w:p w14:paraId="3861AEDE" w14:textId="77777777" w:rsidR="007C5F51" w:rsidRDefault="009A5809">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Q3-2:</w:t>
            </w:r>
            <w:r>
              <w:rPr>
                <w:rFonts w:ascii="Times New Roman" w:hAnsi="Times New Roman" w:cs="Times New Roman"/>
                <w:sz w:val="20"/>
                <w:szCs w:val="20"/>
                <w:lang w:val="en-GB"/>
              </w:rPr>
              <w:t xml:space="preserve"> Depends on SA5 answer.</w:t>
            </w:r>
          </w:p>
        </w:tc>
        <w:tc>
          <w:tcPr>
            <w:tcW w:w="6570" w:type="dxa"/>
          </w:tcPr>
          <w:p w14:paraId="167E5863" w14:textId="77777777" w:rsidR="007C5F51" w:rsidRDefault="007C5F51">
            <w:pPr>
              <w:spacing w:before="120" w:after="0"/>
              <w:rPr>
                <w:rFonts w:ascii="Times New Roman" w:hAnsi="Times New Roman" w:cs="Times New Roman"/>
                <w:b/>
                <w:bCs/>
                <w:sz w:val="20"/>
                <w:szCs w:val="20"/>
                <w:lang w:val="en-GB"/>
              </w:rPr>
            </w:pPr>
          </w:p>
        </w:tc>
      </w:tr>
      <w:tr w:rsidR="007C5F51" w14:paraId="03F6E07D" w14:textId="77777777">
        <w:trPr>
          <w:trHeight w:val="342"/>
        </w:trPr>
        <w:tc>
          <w:tcPr>
            <w:tcW w:w="1378" w:type="dxa"/>
          </w:tcPr>
          <w:p w14:paraId="23F5AE56"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839" w:type="dxa"/>
          </w:tcPr>
          <w:p w14:paraId="232DD496"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Unclear</w:t>
            </w:r>
          </w:p>
        </w:tc>
        <w:tc>
          <w:tcPr>
            <w:tcW w:w="6570" w:type="dxa"/>
          </w:tcPr>
          <w:p w14:paraId="304152F0"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Is this proposal specific to s-based QoE or or m-based QoE or both? (Not sure why core network needs to be involved at least for m-based QoE)</w:t>
            </w:r>
          </w:p>
          <w:p w14:paraId="55178FDC"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Also, what is recording session indication? Is this same as the session start/end indication? If not, does NG-RAN need UE to indicate this recording session indication over Uu as well? </w:t>
            </w:r>
          </w:p>
        </w:tc>
      </w:tr>
      <w:tr w:rsidR="007C5F51" w14:paraId="7C4CAD6C" w14:textId="77777777">
        <w:trPr>
          <w:trHeight w:val="325"/>
        </w:trPr>
        <w:tc>
          <w:tcPr>
            <w:tcW w:w="1378" w:type="dxa"/>
          </w:tcPr>
          <w:p w14:paraId="310ECEAA"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839" w:type="dxa"/>
          </w:tcPr>
          <w:p w14:paraId="201B0C87"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ot sure</w:t>
            </w:r>
          </w:p>
        </w:tc>
        <w:tc>
          <w:tcPr>
            <w:tcW w:w="6570" w:type="dxa"/>
          </w:tcPr>
          <w:p w14:paraId="48BC566F"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don’t see anything broken so far.</w:t>
            </w:r>
          </w:p>
        </w:tc>
      </w:tr>
      <w:tr w:rsidR="007C5F51" w14:paraId="67BEB7DE" w14:textId="77777777">
        <w:trPr>
          <w:trHeight w:val="325"/>
        </w:trPr>
        <w:tc>
          <w:tcPr>
            <w:tcW w:w="1378" w:type="dxa"/>
          </w:tcPr>
          <w:p w14:paraId="24A604EB" w14:textId="77777777" w:rsidR="007C5F51" w:rsidRDefault="009A5809">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1839" w:type="dxa"/>
          </w:tcPr>
          <w:p w14:paraId="10176871"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Q3-1: Yes</w:t>
            </w:r>
          </w:p>
          <w:p w14:paraId="6D0E6BF3"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Q3-2: New message</w:t>
            </w:r>
          </w:p>
        </w:tc>
        <w:tc>
          <w:tcPr>
            <w:tcW w:w="6570" w:type="dxa"/>
          </w:tcPr>
          <w:p w14:paraId="5D502C42"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Since QoE will not reuse the Trace procedure, the TR/TRSR are also different with trace procedure, new message may need to be defined to inform QoE specific information to 5GC. </w:t>
            </w:r>
          </w:p>
        </w:tc>
      </w:tr>
      <w:tr w:rsidR="007C5F51" w14:paraId="1E1739BC" w14:textId="77777777">
        <w:trPr>
          <w:trHeight w:val="325"/>
        </w:trPr>
        <w:tc>
          <w:tcPr>
            <w:tcW w:w="1378" w:type="dxa"/>
          </w:tcPr>
          <w:p w14:paraId="1AA09BF6"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839" w:type="dxa"/>
          </w:tcPr>
          <w:p w14:paraId="1E8BFDD1"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Q3-1</w:t>
            </w:r>
            <w:r>
              <w:rPr>
                <w:rFonts w:ascii="Times New Roman" w:eastAsiaTheme="minorEastAsia" w:hAnsi="Times New Roman" w:cs="Times New Roman" w:hint="eastAsia"/>
                <w:b/>
                <w:bCs/>
                <w:sz w:val="20"/>
                <w:szCs w:val="20"/>
                <w:lang w:val="en-GB" w:eastAsia="zh-CN"/>
              </w:rPr>
              <w:t>:agree to LS SA5</w:t>
            </w:r>
          </w:p>
        </w:tc>
        <w:tc>
          <w:tcPr>
            <w:tcW w:w="6570" w:type="dxa"/>
          </w:tcPr>
          <w:p w14:paraId="7B94FF68"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Response</w:t>
            </w:r>
            <w:r>
              <w:rPr>
                <w:rFonts w:ascii="Times New Roman" w:eastAsiaTheme="minorEastAsia" w:hAnsi="Times New Roman" w:cs="Times New Roman" w:hint="eastAsia"/>
                <w:sz w:val="20"/>
                <w:szCs w:val="20"/>
                <w:lang w:val="en-GB" w:eastAsia="zh-CN"/>
              </w:rPr>
              <w:t xml:space="preserve"> to QC, the detail may be found in 28.405. the proposal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s </w:t>
            </w:r>
            <w:r>
              <w:rPr>
                <w:rFonts w:ascii="Times New Roman" w:eastAsiaTheme="minorEastAsia" w:hAnsi="Times New Roman" w:cs="Times New Roman"/>
                <w:sz w:val="20"/>
                <w:szCs w:val="20"/>
                <w:lang w:val="en-GB" w:eastAsia="zh-CN"/>
              </w:rPr>
              <w:t>only for S-based QoE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M-based QoE, the </w:t>
            </w:r>
            <w:r>
              <w:rPr>
                <w:rFonts w:ascii="Times New Roman" w:eastAsiaTheme="minorEastAsia" w:hAnsi="Times New Roman" w:cs="Times New Roman"/>
                <w:sz w:val="20"/>
                <w:szCs w:val="20"/>
                <w:lang w:val="en-GB" w:eastAsia="zh-CN"/>
              </w:rPr>
              <w:t>recording session indication</w:t>
            </w:r>
            <w:r>
              <w:rPr>
                <w:rFonts w:ascii="Times New Roman" w:eastAsiaTheme="minorEastAsia" w:hAnsi="Times New Roman" w:cs="Times New Roman" w:hint="eastAsia"/>
                <w:sz w:val="20"/>
                <w:szCs w:val="20"/>
                <w:lang w:val="en-GB" w:eastAsia="zh-CN"/>
              </w:rPr>
              <w:t xml:space="preserve"> is sent to OAM directly.</w:t>
            </w:r>
          </w:p>
        </w:tc>
      </w:tr>
      <w:tr w:rsidR="007C5F51" w14:paraId="74148A24" w14:textId="77777777">
        <w:trPr>
          <w:trHeight w:val="342"/>
        </w:trPr>
        <w:tc>
          <w:tcPr>
            <w:tcW w:w="1378" w:type="dxa"/>
          </w:tcPr>
          <w:p w14:paraId="7C0EABFF"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w:t>
            </w:r>
          </w:p>
        </w:tc>
        <w:tc>
          <w:tcPr>
            <w:tcW w:w="1839" w:type="dxa"/>
          </w:tcPr>
          <w:p w14:paraId="59E95982"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w:t>
            </w:r>
            <w:r>
              <w:rPr>
                <w:rFonts w:ascii="Times New Roman" w:eastAsiaTheme="minorEastAsia" w:hAnsi="Times New Roman" w:cs="Times New Roman" w:hint="eastAsia"/>
                <w:sz w:val="20"/>
                <w:szCs w:val="20"/>
                <w:lang w:val="en-GB" w:eastAsia="zh-CN"/>
              </w:rPr>
              <w:t>o</w:t>
            </w:r>
          </w:p>
        </w:tc>
        <w:tc>
          <w:tcPr>
            <w:tcW w:w="6570" w:type="dxa"/>
          </w:tcPr>
          <w:p w14:paraId="681BC470"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state</w:t>
            </w:r>
            <w:r>
              <w:rPr>
                <w:rFonts w:ascii="Times New Roman" w:eastAsiaTheme="minorEastAsia" w:hAnsi="Times New Roman" w:cs="Times New Roman"/>
                <w:sz w:val="20"/>
                <w:szCs w:val="20"/>
                <w:lang w:val="en-GB" w:eastAsia="zh-CN"/>
              </w:rPr>
              <w:t xml:space="preserve">d </w:t>
            </w:r>
            <w:r>
              <w:rPr>
                <w:rFonts w:ascii="Times New Roman" w:eastAsiaTheme="minorEastAsia" w:hAnsi="Times New Roman" w:cs="Times New Roman" w:hint="eastAsia"/>
                <w:sz w:val="20"/>
                <w:szCs w:val="20"/>
                <w:lang w:val="en-GB" w:eastAsia="zh-CN"/>
              </w:rPr>
              <w:t>in</w:t>
            </w:r>
            <w:r>
              <w:rPr>
                <w:rFonts w:ascii="Times New Roman" w:eastAsiaTheme="minorEastAsia" w:hAnsi="Times New Roman" w:cs="Times New Roman"/>
                <w:sz w:val="20"/>
                <w:szCs w:val="20"/>
                <w:lang w:val="en-GB" w:eastAsia="zh-CN"/>
              </w:rPr>
              <w:t xml:space="preserve"> TS 28.405 for s-based QMC below</w:t>
            </w:r>
          </w:p>
          <w:p w14:paraId="0C4BF254" w14:textId="77777777" w:rsidR="007C5F51" w:rsidRDefault="007C5F51">
            <w:pPr>
              <w:spacing w:before="120" w:after="0"/>
              <w:rPr>
                <w:rFonts w:ascii="Times New Roman" w:eastAsiaTheme="minorEastAsia" w:hAnsi="Times New Roman" w:cs="Times New Roman"/>
                <w:sz w:val="20"/>
                <w:szCs w:val="20"/>
                <w:lang w:val="en-GB" w:eastAsia="zh-CN"/>
              </w:rPr>
            </w:pPr>
          </w:p>
          <w:p w14:paraId="589C3ABC" w14:textId="77777777" w:rsidR="007C5F51" w:rsidRDefault="009A580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8)</w:t>
            </w:r>
            <w:r>
              <w:rPr>
                <w:rFonts w:ascii="Times New Roman" w:eastAsia="Times New Roman" w:hAnsi="Times New Roman" w:cs="Times New Roman"/>
                <w:sz w:val="20"/>
                <w:szCs w:val="20"/>
                <w:lang w:val="en-GB" w:eastAsia="en-US"/>
              </w:rPr>
              <w:tab/>
              <w:t xml:space="preserve">The application layer sends the AT command +CAPPLEVMR including </w:t>
            </w:r>
            <w:r>
              <w:rPr>
                <w:rFonts w:ascii="Times New Roman" w:eastAsia="Times New Roman" w:hAnsi="Times New Roman" w:cs="Times New Roman"/>
                <w:sz w:val="20"/>
                <w:szCs w:val="20"/>
                <w:highlight w:val="yellow"/>
                <w:lang w:val="en-GB" w:eastAsia="en-US"/>
              </w:rPr>
              <w:t>a recording session indication that indicates that a session is started to the access stratum.</w:t>
            </w:r>
          </w:p>
          <w:p w14:paraId="7C861D4D" w14:textId="77777777" w:rsidR="007C5F51" w:rsidRDefault="009A580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lastRenderedPageBreak/>
              <w:t>9)</w:t>
            </w:r>
            <w:r>
              <w:rPr>
                <w:rFonts w:ascii="Times New Roman" w:eastAsia="Times New Roman" w:hAnsi="Times New Roman" w:cs="Times New Roman"/>
                <w:sz w:val="20"/>
                <w:szCs w:val="20"/>
                <w:lang w:val="en-GB" w:eastAsia="en-US"/>
              </w:rPr>
              <w:tab/>
              <w:t xml:space="preserve">The UE sends the message </w:t>
            </w:r>
            <w:r>
              <w:rPr>
                <w:rFonts w:ascii="Courier New" w:eastAsia="Times New Roman" w:hAnsi="Courier New" w:cs="Courier New"/>
                <w:sz w:val="20"/>
                <w:szCs w:val="20"/>
                <w:lang w:val="en-GB" w:eastAsia="en-US"/>
              </w:rPr>
              <w:t>MeasReportAppLayer</w:t>
            </w:r>
            <w:r>
              <w:rPr>
                <w:rFonts w:ascii="Times New Roman" w:eastAsia="Times New Roman" w:hAnsi="Times New Roman" w:cs="Times New Roman"/>
                <w:sz w:val="20"/>
                <w:szCs w:val="20"/>
                <w:lang w:val="en-GB" w:eastAsia="en-US"/>
              </w:rPr>
              <w:t xml:space="preserve"> including the recording session indication to the eNB.</w:t>
            </w:r>
          </w:p>
          <w:p w14:paraId="401F1F77" w14:textId="77777777" w:rsidR="007C5F51" w:rsidRDefault="009A580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10)</w:t>
            </w:r>
            <w:r>
              <w:rPr>
                <w:rFonts w:ascii="Times New Roman" w:eastAsia="Times New Roman" w:hAnsi="Times New Roman" w:cs="Times New Roman"/>
                <w:sz w:val="20"/>
                <w:szCs w:val="20"/>
                <w:lang w:val="en-GB" w:eastAsia="en-US"/>
              </w:rPr>
              <w:tab/>
            </w:r>
            <w:r>
              <w:rPr>
                <w:rFonts w:ascii="Times New Roman" w:eastAsia="Times New Roman" w:hAnsi="Times New Roman" w:cs="Times New Roman"/>
                <w:sz w:val="20"/>
                <w:szCs w:val="20"/>
                <w:highlight w:val="yellow"/>
                <w:lang w:val="en-GB" w:eastAsia="en-US"/>
              </w:rPr>
              <w:t>The eNB sends a notification including the recording session indication to the NM.</w:t>
            </w:r>
          </w:p>
          <w:p w14:paraId="0506E1E4" w14:textId="77777777" w:rsidR="007C5F51" w:rsidRPr="009A75B7" w:rsidRDefault="009A5809">
            <w:pPr>
              <w:spacing w:before="120" w:after="0"/>
              <w:rPr>
                <w:rFonts w:ascii="Times New Roman" w:eastAsiaTheme="minorEastAsia" w:hAnsi="Times New Roman" w:cs="Times New Roman"/>
                <w:sz w:val="20"/>
                <w:szCs w:val="20"/>
                <w:lang w:val="en-GB" w:eastAsia="zh-CN"/>
              </w:rPr>
            </w:pPr>
            <w:r w:rsidRPr="009A75B7">
              <w:rPr>
                <w:rFonts w:ascii="Times New Roman" w:eastAsiaTheme="minorEastAsia" w:hAnsi="Times New Roman" w:cs="Times New Roman"/>
                <w:sz w:val="20"/>
                <w:szCs w:val="20"/>
                <w:lang w:val="en-GB" w:eastAsia="zh-CN"/>
              </w:rPr>
              <w:t>The recoridng session indicaiton is the same as session start/end indication, the eNB will send it to the NM, i.e. OAM, instead of 5GC.</w:t>
            </w:r>
          </w:p>
        </w:tc>
      </w:tr>
      <w:tr w:rsidR="007C5F51" w14:paraId="10C93DC5" w14:textId="77777777">
        <w:trPr>
          <w:trHeight w:val="342"/>
        </w:trPr>
        <w:tc>
          <w:tcPr>
            <w:tcW w:w="1378" w:type="dxa"/>
          </w:tcPr>
          <w:p w14:paraId="53048E9F"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1839" w:type="dxa"/>
          </w:tcPr>
          <w:p w14:paraId="70E05A3A"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6570" w:type="dxa"/>
          </w:tcPr>
          <w:p w14:paraId="69F2558F"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This is the last meeting of Rel-17 WI. There is no time for us to liaise SA5 and ask for their feedback. The current QMC function would work well without the recording session indication.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understand why we should have this recording session indication. </w:t>
            </w:r>
          </w:p>
        </w:tc>
      </w:tr>
      <w:tr w:rsidR="007C5F51" w14:paraId="722370E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3537AD9" w14:textId="61CED2A9" w:rsidR="007C5F51" w:rsidRDefault="005039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839" w:type="dxa"/>
            <w:tcBorders>
              <w:top w:val="single" w:sz="4" w:space="0" w:color="auto"/>
              <w:left w:val="single" w:sz="4" w:space="0" w:color="auto"/>
              <w:bottom w:val="single" w:sz="4" w:space="0" w:color="auto"/>
              <w:right w:val="single" w:sz="4" w:space="0" w:color="auto"/>
            </w:tcBorders>
          </w:tcPr>
          <w:p w14:paraId="049C86DD" w14:textId="4EFA945A" w:rsidR="007C5F51" w:rsidRDefault="005039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6570" w:type="dxa"/>
            <w:tcBorders>
              <w:top w:val="single" w:sz="4" w:space="0" w:color="auto"/>
              <w:left w:val="single" w:sz="4" w:space="0" w:color="auto"/>
              <w:bottom w:val="single" w:sz="4" w:space="0" w:color="auto"/>
              <w:right w:val="single" w:sz="4" w:space="0" w:color="auto"/>
            </w:tcBorders>
          </w:tcPr>
          <w:p w14:paraId="03EE9053" w14:textId="582221F7" w:rsidR="007C5F51" w:rsidRDefault="005039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CN doesn't need the recording session indication. We believe that this indication should be sent to the MCE, not to the NM</w:t>
            </w:r>
            <w:r w:rsidR="00A01651">
              <w:rPr>
                <w:rFonts w:ascii="Times New Roman" w:eastAsiaTheme="minorEastAsia" w:hAnsi="Times New Roman" w:cs="Times New Roman"/>
                <w:sz w:val="20"/>
                <w:szCs w:val="20"/>
                <w:lang w:val="en-GB" w:eastAsia="zh-CN"/>
              </w:rPr>
              <w:t>, but there is no impact on RAN3 specification related to this</w:t>
            </w:r>
            <w:r>
              <w:rPr>
                <w:rFonts w:ascii="Times New Roman" w:eastAsiaTheme="minorEastAsia" w:hAnsi="Times New Roman" w:cs="Times New Roman"/>
                <w:sz w:val="20"/>
                <w:szCs w:val="20"/>
                <w:lang w:val="en-GB" w:eastAsia="zh-CN"/>
              </w:rPr>
              <w:t>.</w:t>
            </w:r>
          </w:p>
        </w:tc>
      </w:tr>
      <w:tr w:rsidR="007C5F51" w14:paraId="5D5A06A3" w14:textId="77777777">
        <w:trPr>
          <w:trHeight w:val="325"/>
        </w:trPr>
        <w:tc>
          <w:tcPr>
            <w:tcW w:w="1378" w:type="dxa"/>
          </w:tcPr>
          <w:p w14:paraId="54B03DD1"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1839" w:type="dxa"/>
          </w:tcPr>
          <w:p w14:paraId="08404F60" w14:textId="77777777" w:rsidR="007C5F51" w:rsidRDefault="007C5F51">
            <w:pPr>
              <w:spacing w:before="120" w:after="0"/>
              <w:rPr>
                <w:rFonts w:ascii="Times New Roman" w:eastAsia="MS ??" w:hAnsi="Times New Roman" w:cs="Times New Roman"/>
                <w:sz w:val="20"/>
                <w:szCs w:val="20"/>
                <w:lang w:val="en-GB" w:eastAsia="zh-CN"/>
              </w:rPr>
            </w:pPr>
          </w:p>
        </w:tc>
        <w:tc>
          <w:tcPr>
            <w:tcW w:w="6570" w:type="dxa"/>
          </w:tcPr>
          <w:p w14:paraId="2631BE30" w14:textId="77777777" w:rsidR="007C5F51" w:rsidRDefault="007C5F51">
            <w:pPr>
              <w:spacing w:before="120" w:after="0"/>
              <w:rPr>
                <w:rFonts w:ascii="Times New Roman" w:eastAsia="MS ??" w:hAnsi="Times New Roman" w:cs="Times New Roman"/>
                <w:sz w:val="20"/>
                <w:szCs w:val="20"/>
                <w:lang w:val="en-GB" w:eastAsia="zh-CN"/>
              </w:rPr>
            </w:pPr>
          </w:p>
        </w:tc>
      </w:tr>
    </w:tbl>
    <w:p w14:paraId="61BD74D4" w14:textId="77777777" w:rsidR="007C5F51" w:rsidRDefault="007C5F51">
      <w:pPr>
        <w:ind w:left="-90"/>
        <w:rPr>
          <w:rFonts w:ascii="Times New Roman" w:hAnsi="Times New Roman" w:cs="Times New Roman"/>
          <w:sz w:val="20"/>
          <w:szCs w:val="22"/>
          <w:lang w:val="en-GB"/>
        </w:rPr>
      </w:pPr>
    </w:p>
    <w:p w14:paraId="3734B30A" w14:textId="77777777" w:rsidR="000E2702" w:rsidRPr="00943808" w:rsidRDefault="000E2702" w:rsidP="000E2702">
      <w:pPr>
        <w:rPr>
          <w:rFonts w:ascii="Times New Roman" w:hAnsi="Times New Roman" w:cs="Times New Roman"/>
          <w:b/>
          <w:bCs/>
          <w:color w:val="0070C0"/>
          <w:sz w:val="20"/>
          <w:szCs w:val="22"/>
          <w:u w:val="single"/>
          <w:lang w:val="en-GB"/>
        </w:rPr>
      </w:pPr>
      <w:r w:rsidRPr="00943808">
        <w:rPr>
          <w:rFonts w:ascii="Times New Roman" w:hAnsi="Times New Roman" w:cs="Times New Roman"/>
          <w:b/>
          <w:bCs/>
          <w:color w:val="0070C0"/>
          <w:sz w:val="20"/>
          <w:szCs w:val="22"/>
          <w:u w:val="single"/>
          <w:lang w:val="en-GB"/>
        </w:rPr>
        <w:t>Summary:</w:t>
      </w:r>
    </w:p>
    <w:p w14:paraId="3C37CC25" w14:textId="63A6034B" w:rsidR="007C5F51" w:rsidRDefault="000E2702" w:rsidP="000E2702">
      <w:pPr>
        <w:rPr>
          <w:rFonts w:ascii="Times New Roman" w:hAnsi="Times New Roman" w:cs="Times New Roman"/>
          <w:sz w:val="20"/>
          <w:szCs w:val="22"/>
          <w:lang w:val="en-GB"/>
        </w:rPr>
      </w:pPr>
      <w:r>
        <w:rPr>
          <w:rFonts w:ascii="Times New Roman" w:hAnsi="Times New Roman" w:cs="Times New Roman"/>
          <w:color w:val="0070C0"/>
          <w:sz w:val="20"/>
          <w:szCs w:val="22"/>
          <w:lang w:val="en-GB"/>
        </w:rPr>
        <w:t>T</w:t>
      </w:r>
      <w:r w:rsidR="000A2D24">
        <w:rPr>
          <w:rFonts w:ascii="Times New Roman" w:hAnsi="Times New Roman" w:cs="Times New Roman"/>
          <w:color w:val="0070C0"/>
          <w:sz w:val="20"/>
          <w:szCs w:val="22"/>
          <w:lang w:val="en-GB"/>
        </w:rPr>
        <w:t>hree companies against, one not sure, one requires clarifications</w:t>
      </w:r>
      <w:r w:rsidR="006347F6">
        <w:rPr>
          <w:rFonts w:ascii="Times New Roman" w:hAnsi="Times New Roman" w:cs="Times New Roman"/>
          <w:color w:val="0070C0"/>
          <w:sz w:val="20"/>
          <w:szCs w:val="22"/>
          <w:lang w:val="en-GB"/>
        </w:rPr>
        <w:t>, one company in favour, two in favour of liaising SA5.</w:t>
      </w:r>
      <w:r w:rsidR="002B3369">
        <w:rPr>
          <w:rFonts w:ascii="Times New Roman" w:hAnsi="Times New Roman" w:cs="Times New Roman"/>
          <w:color w:val="0070C0"/>
          <w:sz w:val="20"/>
          <w:szCs w:val="22"/>
          <w:lang w:val="en-GB"/>
        </w:rPr>
        <w:t xml:space="preserve"> No proposal.</w:t>
      </w:r>
    </w:p>
    <w:p w14:paraId="439F8D32" w14:textId="77777777" w:rsidR="007C5F51" w:rsidRDefault="009A5809">
      <w:pPr>
        <w:pStyle w:val="Heading2"/>
        <w:rPr>
          <w:rFonts w:ascii="Arial" w:hAnsi="Arial" w:cs="Arial"/>
          <w:lang w:val="en-GB"/>
        </w:rPr>
      </w:pPr>
      <w:r>
        <w:rPr>
          <w:rFonts w:ascii="Arial" w:hAnsi="Arial" w:cs="Arial"/>
          <w:lang w:val="en-GB"/>
        </w:rPr>
        <w:t>Indicating reporting pause/resume to the MCE</w:t>
      </w:r>
    </w:p>
    <w:p w14:paraId="5AF88444" w14:textId="77777777" w:rsidR="007C5F51" w:rsidRDefault="009A5809">
      <w:pPr>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 xml:space="preserve">[CATT2206] </w:t>
      </w:r>
      <w:r>
        <w:rPr>
          <w:rFonts w:ascii="Times New Roman" w:hAnsi="Times New Roman" w:cs="Times New Roman"/>
          <w:color w:val="000000"/>
          <w:sz w:val="20"/>
          <w:szCs w:val="20"/>
          <w:lang w:val="en-GB"/>
        </w:rPr>
        <w:t>proposes to consult SA5 with respect to sending the pause/resume indication to the MCE. The proposal is based on a TBC from RAN3#114-e.</w:t>
      </w:r>
    </w:p>
    <w:p w14:paraId="0AF6FB06" w14:textId="77777777" w:rsidR="007C5F51" w:rsidRDefault="009A5809">
      <w:pPr>
        <w:rPr>
          <w:rFonts w:ascii="Times New Roman" w:hAnsi="Times New Roman" w:cs="Times New Roman"/>
          <w:b/>
          <w:bCs/>
          <w:sz w:val="20"/>
          <w:szCs w:val="20"/>
          <w:lang w:val="en-GB"/>
        </w:rPr>
      </w:pPr>
      <w:r>
        <w:rPr>
          <w:rFonts w:ascii="Times New Roman" w:hAnsi="Times New Roman" w:cs="Times New Roman"/>
          <w:b/>
          <w:bCs/>
          <w:sz w:val="20"/>
          <w:szCs w:val="20"/>
          <w:lang w:val="en-GB"/>
        </w:rPr>
        <w:t>Q4: Should RAN3 liaise SA5, asking whether the TS 28.404 requires that pause/resume indication needs to be sent to the MCE?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7C5F51" w14:paraId="5BBC80D6" w14:textId="77777777">
        <w:trPr>
          <w:trHeight w:val="325"/>
        </w:trPr>
        <w:tc>
          <w:tcPr>
            <w:tcW w:w="1378" w:type="dxa"/>
          </w:tcPr>
          <w:p w14:paraId="4008D23F"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2D769627"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96B12C9"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7C5F51" w14:paraId="146AF159" w14:textId="77777777">
        <w:trPr>
          <w:trHeight w:val="357"/>
        </w:trPr>
        <w:tc>
          <w:tcPr>
            <w:tcW w:w="1378" w:type="dxa"/>
          </w:tcPr>
          <w:p w14:paraId="69A76715"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62A8C8F" w14:textId="77777777" w:rsidR="007C5F51" w:rsidRDefault="009A5809">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395F346C" w14:textId="77777777" w:rsidR="007C5F51" w:rsidRDefault="009A5809">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However, it is unclear what RAN3 should do with this information.</w:t>
            </w:r>
          </w:p>
        </w:tc>
      </w:tr>
      <w:tr w:rsidR="007C5F51" w14:paraId="5F224943" w14:textId="77777777">
        <w:trPr>
          <w:trHeight w:val="342"/>
        </w:trPr>
        <w:tc>
          <w:tcPr>
            <w:tcW w:w="1378" w:type="dxa"/>
          </w:tcPr>
          <w:p w14:paraId="65B99C33"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CAA4B90"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3EB2743E" w14:textId="1882071C"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addition to pause/resume, we should also check with SA5 whether RAN should indicate to MCE when a QoE configuration has been released. This is important because if MCE doesn’t know when an NG-RAN triggers a QoE release, it might be awaiting QoE reports which will never arrive and cause misunderstanding.</w:t>
            </w:r>
          </w:p>
        </w:tc>
      </w:tr>
      <w:tr w:rsidR="007C5F51" w14:paraId="5818E60D" w14:textId="77777777">
        <w:trPr>
          <w:trHeight w:val="325"/>
        </w:trPr>
        <w:tc>
          <w:tcPr>
            <w:tcW w:w="1378" w:type="dxa"/>
          </w:tcPr>
          <w:p w14:paraId="416167E8"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0DBFD95"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229C0FDA" w14:textId="77777777" w:rsidR="007C5F51" w:rsidRDefault="007C5F51">
            <w:pPr>
              <w:spacing w:before="120" w:after="0"/>
              <w:rPr>
                <w:rFonts w:ascii="Times New Roman" w:eastAsiaTheme="minorEastAsia" w:hAnsi="Times New Roman" w:cs="Times New Roman"/>
                <w:sz w:val="20"/>
                <w:szCs w:val="20"/>
                <w:lang w:val="en-GB" w:eastAsia="zh-CN"/>
              </w:rPr>
            </w:pPr>
          </w:p>
        </w:tc>
      </w:tr>
      <w:tr w:rsidR="007C5F51" w14:paraId="3F58847D" w14:textId="77777777">
        <w:trPr>
          <w:trHeight w:val="325"/>
        </w:trPr>
        <w:tc>
          <w:tcPr>
            <w:tcW w:w="1378" w:type="dxa"/>
          </w:tcPr>
          <w:p w14:paraId="4E3E61FB" w14:textId="77777777" w:rsidR="007C5F51" w:rsidRDefault="009A5809">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1209" w:type="dxa"/>
          </w:tcPr>
          <w:p w14:paraId="4A41AB2E"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5450EB1C"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overload situation should be send to MCE to avoid the unnecessary QoE deactivation and to avoid new QoE configuration. Anyway, liaise SA5 is needed.</w:t>
            </w:r>
          </w:p>
        </w:tc>
      </w:tr>
      <w:tr w:rsidR="007C5F51" w14:paraId="620FEA9B" w14:textId="77777777">
        <w:trPr>
          <w:trHeight w:val="325"/>
        </w:trPr>
        <w:tc>
          <w:tcPr>
            <w:tcW w:w="1378" w:type="dxa"/>
          </w:tcPr>
          <w:p w14:paraId="41DF77CB"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35036C0E"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Pr>
          <w:p w14:paraId="5F552F99" w14:textId="77777777" w:rsidR="007C5F51" w:rsidRDefault="007C5F51">
            <w:pPr>
              <w:spacing w:before="120" w:after="0"/>
              <w:rPr>
                <w:rFonts w:ascii="Times New Roman" w:eastAsiaTheme="minorEastAsia" w:hAnsi="Times New Roman" w:cs="Times New Roman"/>
                <w:sz w:val="20"/>
                <w:szCs w:val="20"/>
                <w:lang w:val="en-GB" w:eastAsia="zh-CN"/>
              </w:rPr>
            </w:pPr>
          </w:p>
        </w:tc>
      </w:tr>
      <w:tr w:rsidR="007C5F51" w14:paraId="4AAD231C" w14:textId="77777777">
        <w:trPr>
          <w:trHeight w:val="342"/>
        </w:trPr>
        <w:tc>
          <w:tcPr>
            <w:tcW w:w="1378" w:type="dxa"/>
          </w:tcPr>
          <w:p w14:paraId="17A816FA"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Samsung </w:t>
            </w:r>
          </w:p>
        </w:tc>
        <w:tc>
          <w:tcPr>
            <w:tcW w:w="1209" w:type="dxa"/>
          </w:tcPr>
          <w:p w14:paraId="2686200E"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Yes but </w:t>
            </w:r>
          </w:p>
        </w:tc>
        <w:tc>
          <w:tcPr>
            <w:tcW w:w="7200" w:type="dxa"/>
          </w:tcPr>
          <w:p w14:paraId="02888B83"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it’s to avoid the unnecessary QoE deactivation, the indication should be sent to </w:t>
            </w:r>
            <w:r>
              <w:rPr>
                <w:rFonts w:ascii="Times New Roman" w:eastAsiaTheme="minorEastAsia" w:hAnsi="Times New Roman" w:cs="Times New Roman"/>
                <w:b/>
                <w:sz w:val="20"/>
                <w:szCs w:val="20"/>
                <w:lang w:val="en-GB" w:eastAsia="zh-CN"/>
              </w:rPr>
              <w:t>OAM instead of MCE</w:t>
            </w:r>
            <w:r>
              <w:rPr>
                <w:rFonts w:ascii="Times New Roman" w:eastAsiaTheme="minorEastAsia" w:hAnsi="Times New Roman" w:cs="Times New Roman"/>
                <w:sz w:val="20"/>
                <w:szCs w:val="20"/>
                <w:lang w:val="en-GB" w:eastAsia="zh-CN"/>
              </w:rPr>
              <w:t>, but we’re fine to liaise SA5 to check which is going to use this indication.</w:t>
            </w:r>
          </w:p>
          <w:p w14:paraId="4B5CCC93"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And before that, let’s make thing clear here,</w:t>
            </w:r>
          </w:p>
          <w:p w14:paraId="4220EEC8" w14:textId="77777777" w:rsidR="007C5F51" w:rsidRDefault="009A5809">
            <w:pPr>
              <w:spacing w:before="120" w:after="0"/>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 xml:space="preserve">MCE is responsible for collecting and analysing the QoE report </w:t>
            </w:r>
          </w:p>
          <w:p w14:paraId="0475552A" w14:textId="77777777" w:rsidR="007C5F51" w:rsidRDefault="009A5809">
            <w:pPr>
              <w:spacing w:before="120" w:after="0"/>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OAM (i.e. NM) is responsible for QoE (de)activation</w:t>
            </w:r>
          </w:p>
          <w:p w14:paraId="2450CBF4" w14:textId="77777777" w:rsidR="007C5F51" w:rsidRDefault="009A58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Please companies correct me if my understanding is wrong.</w:t>
            </w:r>
          </w:p>
        </w:tc>
      </w:tr>
      <w:tr w:rsidR="007C5F51" w14:paraId="0CC778FB" w14:textId="77777777">
        <w:trPr>
          <w:trHeight w:val="962"/>
        </w:trPr>
        <w:tc>
          <w:tcPr>
            <w:tcW w:w="1378" w:type="dxa"/>
          </w:tcPr>
          <w:p w14:paraId="6F28D058"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1209" w:type="dxa"/>
          </w:tcPr>
          <w:p w14:paraId="0BCDC4BF"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Pr>
          <w:p w14:paraId="700181C4"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This has been discussed at last meeting and there was no consensus achieved. And we have already informed SA5 that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there is no consensus in RAN3 about whether pause/resume indication should be sent to MCE or management system.</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in the LS to SA5 (R3-221437) at last meeting. </w:t>
            </w:r>
          </w:p>
          <w:p w14:paraId="04DC26C1" w14:textId="77777777" w:rsidR="007C5F51" w:rsidRDefault="009A58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Besides, it is not even a left issue from last meeting.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think we should spend time on this issue again. Our suggestion is to focus on key issues.</w:t>
            </w:r>
          </w:p>
        </w:tc>
      </w:tr>
      <w:tr w:rsidR="007C5F51" w14:paraId="621C681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78F7DE" w14:textId="1123B6C5" w:rsidR="007C5F51" w:rsidRDefault="00A0165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Borders>
              <w:top w:val="single" w:sz="4" w:space="0" w:color="auto"/>
              <w:left w:val="single" w:sz="4" w:space="0" w:color="auto"/>
              <w:bottom w:val="single" w:sz="4" w:space="0" w:color="auto"/>
              <w:right w:val="single" w:sz="4" w:space="0" w:color="auto"/>
            </w:tcBorders>
          </w:tcPr>
          <w:p w14:paraId="4AC9F2D0" w14:textId="58E18293" w:rsidR="007C5F51" w:rsidRDefault="00A0165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Borders>
              <w:top w:val="single" w:sz="4" w:space="0" w:color="auto"/>
              <w:left w:val="single" w:sz="4" w:space="0" w:color="auto"/>
              <w:bottom w:val="single" w:sz="4" w:space="0" w:color="auto"/>
              <w:right w:val="single" w:sz="4" w:space="0" w:color="auto"/>
            </w:tcBorders>
          </w:tcPr>
          <w:p w14:paraId="4074F65F" w14:textId="6830F975" w:rsidR="007C5F51" w:rsidRDefault="00A0165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indication has no impact on RAN3 specification.</w:t>
            </w:r>
          </w:p>
        </w:tc>
      </w:tr>
      <w:tr w:rsidR="007C5F51" w14:paraId="15986988" w14:textId="77777777">
        <w:trPr>
          <w:trHeight w:val="325"/>
        </w:trPr>
        <w:tc>
          <w:tcPr>
            <w:tcW w:w="1378" w:type="dxa"/>
          </w:tcPr>
          <w:p w14:paraId="76D10793" w14:textId="77777777" w:rsidR="007C5F51" w:rsidRDefault="007C5F51">
            <w:pPr>
              <w:spacing w:before="120" w:after="0"/>
              <w:rPr>
                <w:rFonts w:ascii="Times New Roman" w:eastAsiaTheme="minorEastAsia" w:hAnsi="Times New Roman" w:cs="Times New Roman"/>
                <w:sz w:val="20"/>
                <w:szCs w:val="20"/>
                <w:lang w:val="en-GB" w:eastAsia="zh-CN"/>
              </w:rPr>
            </w:pPr>
          </w:p>
        </w:tc>
        <w:tc>
          <w:tcPr>
            <w:tcW w:w="1209" w:type="dxa"/>
          </w:tcPr>
          <w:p w14:paraId="4C1C8378" w14:textId="77777777" w:rsidR="007C5F51" w:rsidRDefault="007C5F51">
            <w:pPr>
              <w:spacing w:before="120" w:after="0"/>
              <w:rPr>
                <w:rFonts w:ascii="Times New Roman" w:eastAsia="MS ??" w:hAnsi="Times New Roman" w:cs="Times New Roman"/>
                <w:sz w:val="20"/>
                <w:szCs w:val="20"/>
                <w:lang w:val="en-GB" w:eastAsia="zh-CN"/>
              </w:rPr>
            </w:pPr>
          </w:p>
        </w:tc>
        <w:tc>
          <w:tcPr>
            <w:tcW w:w="7200" w:type="dxa"/>
          </w:tcPr>
          <w:p w14:paraId="7CEC702D" w14:textId="77777777" w:rsidR="007C5F51" w:rsidRDefault="007C5F51">
            <w:pPr>
              <w:spacing w:before="120" w:after="0"/>
              <w:rPr>
                <w:rFonts w:ascii="Times New Roman" w:eastAsia="MS ??" w:hAnsi="Times New Roman" w:cs="Times New Roman"/>
                <w:sz w:val="20"/>
                <w:szCs w:val="20"/>
                <w:lang w:val="en-GB" w:eastAsia="zh-CN"/>
              </w:rPr>
            </w:pPr>
          </w:p>
        </w:tc>
      </w:tr>
    </w:tbl>
    <w:p w14:paraId="13155190" w14:textId="77777777" w:rsidR="007C5F51" w:rsidRDefault="007C5F51">
      <w:pPr>
        <w:ind w:left="-90"/>
        <w:rPr>
          <w:rFonts w:ascii="Times New Roman" w:hAnsi="Times New Roman" w:cs="Times New Roman"/>
          <w:sz w:val="20"/>
          <w:szCs w:val="22"/>
          <w:lang w:val="en-GB"/>
        </w:rPr>
      </w:pPr>
    </w:p>
    <w:p w14:paraId="6CC36D6C" w14:textId="77777777" w:rsidR="002B3369" w:rsidRPr="00F466EF" w:rsidRDefault="002B3369" w:rsidP="00F466EF">
      <w:pPr>
        <w:rPr>
          <w:rFonts w:ascii="Times New Roman" w:hAnsi="Times New Roman" w:cs="Times New Roman"/>
          <w:b/>
          <w:bCs/>
          <w:color w:val="0070C0"/>
          <w:sz w:val="20"/>
          <w:szCs w:val="22"/>
          <w:u w:val="single"/>
          <w:lang w:val="en-GB"/>
        </w:rPr>
      </w:pPr>
      <w:r w:rsidRPr="00F466EF">
        <w:rPr>
          <w:rFonts w:ascii="Times New Roman" w:hAnsi="Times New Roman" w:cs="Times New Roman"/>
          <w:b/>
          <w:bCs/>
          <w:color w:val="0070C0"/>
          <w:sz w:val="20"/>
          <w:szCs w:val="22"/>
          <w:u w:val="single"/>
          <w:lang w:val="en-GB"/>
        </w:rPr>
        <w:t>Summary:</w:t>
      </w:r>
    </w:p>
    <w:p w14:paraId="33E6BBE8" w14:textId="6493D859" w:rsidR="007C5F51" w:rsidRDefault="00F466EF" w:rsidP="00F466EF">
      <w:pPr>
        <w:rPr>
          <w:rFonts w:ascii="Times New Roman" w:hAnsi="Times New Roman" w:cs="Times New Roman"/>
          <w:color w:val="0070C0"/>
          <w:sz w:val="20"/>
          <w:szCs w:val="22"/>
          <w:lang w:val="en-GB"/>
        </w:rPr>
      </w:pPr>
      <w:r w:rsidRPr="00F466EF">
        <w:rPr>
          <w:rFonts w:ascii="Times New Roman" w:hAnsi="Times New Roman" w:cs="Times New Roman"/>
          <w:color w:val="0070C0"/>
          <w:sz w:val="20"/>
          <w:szCs w:val="22"/>
          <w:lang w:val="en-GB"/>
        </w:rPr>
        <w:t>Three companies against,</w:t>
      </w:r>
      <w:r w:rsidR="00467C8C">
        <w:rPr>
          <w:rFonts w:ascii="Times New Roman" w:hAnsi="Times New Roman" w:cs="Times New Roman"/>
          <w:color w:val="0070C0"/>
          <w:sz w:val="20"/>
          <w:szCs w:val="22"/>
          <w:lang w:val="en-GB"/>
        </w:rPr>
        <w:t xml:space="preserve"> five in favour. </w:t>
      </w:r>
      <w:r w:rsidR="00F07DCA">
        <w:rPr>
          <w:rFonts w:ascii="Times New Roman" w:hAnsi="Times New Roman" w:cs="Times New Roman"/>
          <w:color w:val="0070C0"/>
          <w:sz w:val="20"/>
          <w:szCs w:val="22"/>
          <w:lang w:val="en-GB"/>
        </w:rPr>
        <w:t>The Moderator think</w:t>
      </w:r>
      <w:r w:rsidR="00DD7593">
        <w:rPr>
          <w:rFonts w:ascii="Times New Roman" w:hAnsi="Times New Roman" w:cs="Times New Roman"/>
          <w:color w:val="0070C0"/>
          <w:sz w:val="20"/>
          <w:szCs w:val="22"/>
          <w:lang w:val="en-GB"/>
        </w:rPr>
        <w:t>s</w:t>
      </w:r>
      <w:r w:rsidR="00F07DCA">
        <w:rPr>
          <w:rFonts w:ascii="Times New Roman" w:hAnsi="Times New Roman" w:cs="Times New Roman"/>
          <w:color w:val="0070C0"/>
          <w:sz w:val="20"/>
          <w:szCs w:val="22"/>
          <w:lang w:val="en-GB"/>
        </w:rPr>
        <w:t xml:space="preserve"> that </w:t>
      </w:r>
      <w:r w:rsidR="00600FBF">
        <w:rPr>
          <w:rFonts w:ascii="Times New Roman" w:hAnsi="Times New Roman" w:cs="Times New Roman"/>
          <w:color w:val="0070C0"/>
          <w:sz w:val="20"/>
          <w:szCs w:val="22"/>
          <w:lang w:val="en-GB"/>
        </w:rPr>
        <w:t>TS 28.404 is clear wrt this issue,</w:t>
      </w:r>
      <w:r w:rsidR="00ED6CC7">
        <w:rPr>
          <w:rFonts w:ascii="Times New Roman" w:hAnsi="Times New Roman" w:cs="Times New Roman"/>
          <w:color w:val="0070C0"/>
          <w:sz w:val="20"/>
          <w:szCs w:val="22"/>
          <w:lang w:val="en-GB"/>
        </w:rPr>
        <w:t xml:space="preserve"> so it is unclear what SA5 should do based on the LS</w:t>
      </w:r>
      <w:r w:rsidR="00495209">
        <w:rPr>
          <w:rFonts w:ascii="Times New Roman" w:hAnsi="Times New Roman" w:cs="Times New Roman"/>
          <w:color w:val="0070C0"/>
          <w:sz w:val="20"/>
          <w:szCs w:val="22"/>
          <w:lang w:val="en-GB"/>
        </w:rPr>
        <w:t>.</w:t>
      </w:r>
      <w:r w:rsidR="00BC01E7">
        <w:rPr>
          <w:rFonts w:ascii="Times New Roman" w:hAnsi="Times New Roman" w:cs="Times New Roman"/>
          <w:color w:val="0070C0"/>
          <w:sz w:val="20"/>
          <w:szCs w:val="22"/>
          <w:lang w:val="en-GB"/>
        </w:rPr>
        <w:t xml:space="preserve"> </w:t>
      </w:r>
      <w:r w:rsidR="00ED6CC7">
        <w:rPr>
          <w:rFonts w:ascii="Times New Roman" w:hAnsi="Times New Roman" w:cs="Times New Roman"/>
          <w:color w:val="0070C0"/>
          <w:sz w:val="20"/>
          <w:szCs w:val="22"/>
          <w:lang w:val="en-GB"/>
        </w:rPr>
        <w:t>Moreover,</w:t>
      </w:r>
      <w:r w:rsidR="00ED6CC7">
        <w:rPr>
          <w:rFonts w:ascii="Times New Roman" w:hAnsi="Times New Roman" w:cs="Times New Roman"/>
          <w:color w:val="0070C0"/>
          <w:sz w:val="20"/>
          <w:szCs w:val="22"/>
          <w:lang w:val="en-GB"/>
        </w:rPr>
        <w:t xml:space="preserve"> RAN3 impact seems non-existent</w:t>
      </w:r>
      <w:r w:rsidR="00ED6CC7">
        <w:rPr>
          <w:rFonts w:ascii="Times New Roman" w:hAnsi="Times New Roman" w:cs="Times New Roman"/>
          <w:color w:val="0070C0"/>
          <w:sz w:val="20"/>
          <w:szCs w:val="22"/>
          <w:lang w:val="en-GB"/>
        </w:rPr>
        <w:t xml:space="preserve">. </w:t>
      </w:r>
      <w:r w:rsidR="00631B4F">
        <w:rPr>
          <w:rFonts w:ascii="Times New Roman" w:hAnsi="Times New Roman" w:cs="Times New Roman"/>
          <w:color w:val="0070C0"/>
          <w:sz w:val="20"/>
          <w:szCs w:val="22"/>
          <w:lang w:val="en-GB"/>
        </w:rPr>
        <w:t>Finally,</w:t>
      </w:r>
      <w:r w:rsidR="001A112D">
        <w:rPr>
          <w:rFonts w:ascii="Times New Roman" w:hAnsi="Times New Roman" w:cs="Times New Roman"/>
          <w:color w:val="0070C0"/>
          <w:sz w:val="20"/>
          <w:szCs w:val="22"/>
          <w:lang w:val="en-GB"/>
        </w:rPr>
        <w:t xml:space="preserve"> given that the intention is to prevent an unnecessary deactivation,</w:t>
      </w:r>
      <w:r w:rsidR="00631B4F">
        <w:rPr>
          <w:rFonts w:ascii="Times New Roman" w:hAnsi="Times New Roman" w:cs="Times New Roman"/>
          <w:color w:val="0070C0"/>
          <w:sz w:val="20"/>
          <w:szCs w:val="22"/>
          <w:lang w:val="en-GB"/>
        </w:rPr>
        <w:t xml:space="preserve"> it seems that the indication is to be sent to the OAM, rather than MCE.</w:t>
      </w:r>
    </w:p>
    <w:p w14:paraId="24FAFE9D" w14:textId="3EBE77C0" w:rsidR="00BC01E7" w:rsidRPr="00495209" w:rsidRDefault="00BC01E7" w:rsidP="00F466EF">
      <w:pPr>
        <w:rPr>
          <w:rFonts w:ascii="Times New Roman" w:hAnsi="Times New Roman" w:cs="Times New Roman"/>
          <w:b/>
          <w:bCs/>
          <w:color w:val="00B050"/>
          <w:sz w:val="20"/>
          <w:szCs w:val="22"/>
          <w:lang w:val="en-GB"/>
        </w:rPr>
      </w:pPr>
      <w:r w:rsidRPr="00495209">
        <w:rPr>
          <w:rFonts w:ascii="Times New Roman" w:hAnsi="Times New Roman" w:cs="Times New Roman"/>
          <w:b/>
          <w:bCs/>
          <w:color w:val="00B050"/>
          <w:sz w:val="20"/>
          <w:szCs w:val="22"/>
          <w:lang w:val="en-GB"/>
        </w:rPr>
        <w:t xml:space="preserve">Proposal 1: </w:t>
      </w:r>
      <w:r w:rsidR="0046417B">
        <w:rPr>
          <w:rFonts w:ascii="Times New Roman" w:hAnsi="Times New Roman" w:cs="Times New Roman"/>
          <w:b/>
          <w:bCs/>
          <w:color w:val="00B050"/>
          <w:sz w:val="20"/>
          <w:szCs w:val="22"/>
          <w:lang w:val="en-GB"/>
        </w:rPr>
        <w:t xml:space="preserve">Whether </w:t>
      </w:r>
      <w:r w:rsidRPr="00495209">
        <w:rPr>
          <w:rFonts w:ascii="Times New Roman" w:hAnsi="Times New Roman" w:cs="Times New Roman"/>
          <w:b/>
          <w:bCs/>
          <w:color w:val="00B050"/>
          <w:sz w:val="20"/>
          <w:szCs w:val="20"/>
          <w:lang w:val="en-GB"/>
        </w:rPr>
        <w:t xml:space="preserve">TS 28.404 requires that pause/resume indication needs to be sent to the </w:t>
      </w:r>
      <w:r w:rsidR="00631B4F">
        <w:rPr>
          <w:rFonts w:ascii="Times New Roman" w:hAnsi="Times New Roman" w:cs="Times New Roman"/>
          <w:b/>
          <w:bCs/>
          <w:color w:val="00B050"/>
          <w:sz w:val="20"/>
          <w:szCs w:val="20"/>
          <w:lang w:val="en-GB"/>
        </w:rPr>
        <w:t>OAM</w:t>
      </w:r>
      <w:r w:rsidR="00D614C0">
        <w:rPr>
          <w:rFonts w:ascii="Times New Roman" w:hAnsi="Times New Roman" w:cs="Times New Roman"/>
          <w:b/>
          <w:bCs/>
          <w:color w:val="00B050"/>
          <w:sz w:val="20"/>
          <w:szCs w:val="20"/>
          <w:lang w:val="en-GB"/>
        </w:rPr>
        <w:t xml:space="preserve"> has no RAN3 impact</w:t>
      </w:r>
      <w:r w:rsidR="00631B4F">
        <w:rPr>
          <w:rFonts w:ascii="Times New Roman" w:hAnsi="Times New Roman" w:cs="Times New Roman"/>
          <w:b/>
          <w:bCs/>
          <w:color w:val="00B050"/>
          <w:sz w:val="20"/>
          <w:szCs w:val="20"/>
          <w:lang w:val="en-GB"/>
        </w:rPr>
        <w:t>.</w:t>
      </w:r>
    </w:p>
    <w:p w14:paraId="35C38EC5" w14:textId="77777777" w:rsidR="007C5F51" w:rsidRDefault="009A5809">
      <w:pPr>
        <w:pStyle w:val="Heading2"/>
        <w:rPr>
          <w:rFonts w:ascii="Arial" w:hAnsi="Arial" w:cs="Arial"/>
          <w:lang w:val="en-GB"/>
        </w:rPr>
      </w:pPr>
      <w:r>
        <w:rPr>
          <w:rFonts w:ascii="Arial" w:hAnsi="Arial" w:cs="Arial"/>
          <w:lang w:val="en-GB"/>
        </w:rPr>
        <w:t>Stage-3 details of NGAP signalling</w:t>
      </w:r>
    </w:p>
    <w:p w14:paraId="2A48ED17" w14:textId="77777777" w:rsidR="007C5F51" w:rsidRDefault="009A5809">
      <w:pPr>
        <w:rPr>
          <w:rFonts w:ascii="Times New Roman" w:hAnsi="Times New Roman" w:cs="Times New Roman"/>
          <w:color w:val="000000"/>
          <w:sz w:val="20"/>
          <w:szCs w:val="20"/>
          <w:lang w:val="en-GB"/>
        </w:rPr>
      </w:pPr>
      <w:r>
        <w:rPr>
          <w:rFonts w:ascii="Times New Roman" w:hAnsi="Times New Roman" w:cs="Times New Roman"/>
          <w:b/>
          <w:bCs/>
          <w:sz w:val="20"/>
          <w:szCs w:val="20"/>
          <w:lang w:val="en-GB"/>
        </w:rPr>
        <w:t xml:space="preserve">[Hua2222] </w:t>
      </w:r>
      <w:r>
        <w:rPr>
          <w:rFonts w:ascii="Times New Roman" w:hAnsi="Times New Roman" w:cs="Times New Roman"/>
          <w:sz w:val="20"/>
          <w:szCs w:val="20"/>
          <w:lang w:val="en-GB"/>
        </w:rPr>
        <w:t>and</w:t>
      </w:r>
      <w:r>
        <w:rPr>
          <w:rFonts w:ascii="Times New Roman" w:hAnsi="Times New Roman" w:cs="Times New Roman"/>
          <w:b/>
          <w:bCs/>
          <w:sz w:val="20"/>
          <w:szCs w:val="20"/>
          <w:lang w:val="en-GB"/>
        </w:rPr>
        <w:t xml:space="preserve"> [Eri2507] </w:t>
      </w:r>
      <w:r>
        <w:rPr>
          <w:rFonts w:ascii="Times New Roman" w:hAnsi="Times New Roman" w:cs="Times New Roman"/>
          <w:sz w:val="20"/>
          <w:szCs w:val="20"/>
          <w:lang w:val="en-GB"/>
        </w:rPr>
        <w:t xml:space="preserve">propose several stage-3 details for NGAP signalling. </w:t>
      </w:r>
      <w:r>
        <w:rPr>
          <w:rFonts w:ascii="Times New Roman" w:hAnsi="Times New Roman" w:cs="Times New Roman"/>
          <w:b/>
          <w:bCs/>
          <w:color w:val="000000"/>
          <w:sz w:val="20"/>
          <w:szCs w:val="20"/>
          <w:lang w:val="en-GB"/>
        </w:rPr>
        <w:t>[Nok2107]</w:t>
      </w:r>
      <w:r>
        <w:rPr>
          <w:rFonts w:ascii="Times New Roman" w:hAnsi="Times New Roman" w:cs="Times New Roman"/>
          <w:color w:val="000000"/>
          <w:sz w:val="20"/>
          <w:szCs w:val="20"/>
          <w:lang w:val="en-GB"/>
        </w:rPr>
        <w:t xml:space="preserve"> proposes several rapporteur corrections.</w:t>
      </w:r>
    </w:p>
    <w:p w14:paraId="4ABC56CF" w14:textId="77777777" w:rsidR="007C5F51" w:rsidRDefault="009A5809">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A draft TP for the QOE BL CR for TS 38.413 is uploaded in the CB folder.</w:t>
      </w:r>
    </w:p>
    <w:sectPr w:rsidR="007C5F51">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F88F3" w14:textId="77777777" w:rsidR="009A5809" w:rsidRDefault="009A5809">
      <w:pPr>
        <w:spacing w:after="0"/>
      </w:pPr>
      <w:r>
        <w:separator/>
      </w:r>
    </w:p>
  </w:endnote>
  <w:endnote w:type="continuationSeparator" w:id="0">
    <w:p w14:paraId="4BBB7060" w14:textId="77777777" w:rsidR="009A5809" w:rsidRDefault="009A5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12E4" w14:textId="77777777" w:rsidR="007C5F51" w:rsidRDefault="009A5809">
    <w:pPr>
      <w:pStyle w:val="Footer"/>
      <w:jc w:val="center"/>
    </w:pPr>
    <w:r>
      <w:fldChar w:fldCharType="begin"/>
    </w:r>
    <w:r>
      <w:instrText xml:space="preserve"> PAGE   \* MERGEFORMAT </w:instrText>
    </w:r>
    <w:r>
      <w:fldChar w:fldCharType="separate"/>
    </w:r>
    <w:r>
      <w:rPr>
        <w:lang w:val="sv-SE" w:eastAsia="sv-SE"/>
      </w:rPr>
      <w:t>4</w:t>
    </w:r>
    <w:r>
      <w:rPr>
        <w:lang w:val="sv-SE" w:eastAsia="sv-SE"/>
      </w:rPr>
      <w:fldChar w:fldCharType="end"/>
    </w:r>
  </w:p>
  <w:p w14:paraId="45276109" w14:textId="77777777" w:rsidR="007C5F51" w:rsidRDefault="007C5F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82A9" w14:textId="77777777" w:rsidR="009A5809" w:rsidRDefault="009A5809">
      <w:pPr>
        <w:spacing w:after="0"/>
      </w:pPr>
      <w:r>
        <w:separator/>
      </w:r>
    </w:p>
  </w:footnote>
  <w:footnote w:type="continuationSeparator" w:id="0">
    <w:p w14:paraId="2DDDC641" w14:textId="77777777" w:rsidR="009A5809" w:rsidRDefault="009A58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BC3"/>
    <w:rsid w:val="000208FA"/>
    <w:rsid w:val="000268D5"/>
    <w:rsid w:val="000277FF"/>
    <w:rsid w:val="00030A30"/>
    <w:rsid w:val="00031FD6"/>
    <w:rsid w:val="00041BF4"/>
    <w:rsid w:val="00041DD2"/>
    <w:rsid w:val="00042129"/>
    <w:rsid w:val="00052ABB"/>
    <w:rsid w:val="000618C3"/>
    <w:rsid w:val="000626BD"/>
    <w:rsid w:val="00075D81"/>
    <w:rsid w:val="00076F2D"/>
    <w:rsid w:val="00082EAB"/>
    <w:rsid w:val="000A2D24"/>
    <w:rsid w:val="000A7190"/>
    <w:rsid w:val="000B0458"/>
    <w:rsid w:val="000B4A83"/>
    <w:rsid w:val="000B53D3"/>
    <w:rsid w:val="000C4B23"/>
    <w:rsid w:val="000E2702"/>
    <w:rsid w:val="000F062D"/>
    <w:rsid w:val="000F2C4F"/>
    <w:rsid w:val="000F57E2"/>
    <w:rsid w:val="00104509"/>
    <w:rsid w:val="00110B0F"/>
    <w:rsid w:val="001149FF"/>
    <w:rsid w:val="00115EA5"/>
    <w:rsid w:val="00120701"/>
    <w:rsid w:val="001226F6"/>
    <w:rsid w:val="001251A3"/>
    <w:rsid w:val="00142844"/>
    <w:rsid w:val="00146824"/>
    <w:rsid w:val="00150677"/>
    <w:rsid w:val="00153172"/>
    <w:rsid w:val="0015345D"/>
    <w:rsid w:val="00160B1E"/>
    <w:rsid w:val="00174EDD"/>
    <w:rsid w:val="00190807"/>
    <w:rsid w:val="00190F49"/>
    <w:rsid w:val="00192E75"/>
    <w:rsid w:val="001A112D"/>
    <w:rsid w:val="001A33E8"/>
    <w:rsid w:val="001A6916"/>
    <w:rsid w:val="001A787D"/>
    <w:rsid w:val="001C6E79"/>
    <w:rsid w:val="001D1478"/>
    <w:rsid w:val="001D6182"/>
    <w:rsid w:val="001D6A88"/>
    <w:rsid w:val="001E4FFF"/>
    <w:rsid w:val="001E5520"/>
    <w:rsid w:val="001F3292"/>
    <w:rsid w:val="00200F4A"/>
    <w:rsid w:val="00203D1F"/>
    <w:rsid w:val="00205EB5"/>
    <w:rsid w:val="00206CF3"/>
    <w:rsid w:val="0021041D"/>
    <w:rsid w:val="00217F9A"/>
    <w:rsid w:val="002245B4"/>
    <w:rsid w:val="00234446"/>
    <w:rsid w:val="00234AC7"/>
    <w:rsid w:val="00241BFB"/>
    <w:rsid w:val="00296A85"/>
    <w:rsid w:val="002A3818"/>
    <w:rsid w:val="002B011D"/>
    <w:rsid w:val="002B3369"/>
    <w:rsid w:val="002C2FD7"/>
    <w:rsid w:val="002C7B21"/>
    <w:rsid w:val="002D1EC2"/>
    <w:rsid w:val="002D3BFF"/>
    <w:rsid w:val="002E4E10"/>
    <w:rsid w:val="002E6433"/>
    <w:rsid w:val="002E6D03"/>
    <w:rsid w:val="002F43FA"/>
    <w:rsid w:val="002F474C"/>
    <w:rsid w:val="002F5583"/>
    <w:rsid w:val="002F6C6D"/>
    <w:rsid w:val="002F7A2E"/>
    <w:rsid w:val="00301DDC"/>
    <w:rsid w:val="00302415"/>
    <w:rsid w:val="003038DB"/>
    <w:rsid w:val="003053BD"/>
    <w:rsid w:val="003113D2"/>
    <w:rsid w:val="003120BC"/>
    <w:rsid w:val="00314F9F"/>
    <w:rsid w:val="003223A3"/>
    <w:rsid w:val="0032429C"/>
    <w:rsid w:val="00326839"/>
    <w:rsid w:val="00332625"/>
    <w:rsid w:val="003337D3"/>
    <w:rsid w:val="00334176"/>
    <w:rsid w:val="00341245"/>
    <w:rsid w:val="0034420F"/>
    <w:rsid w:val="00345954"/>
    <w:rsid w:val="00366DE5"/>
    <w:rsid w:val="00367A6B"/>
    <w:rsid w:val="00370C77"/>
    <w:rsid w:val="0037452F"/>
    <w:rsid w:val="00376C2A"/>
    <w:rsid w:val="00380D42"/>
    <w:rsid w:val="003865A8"/>
    <w:rsid w:val="003907BC"/>
    <w:rsid w:val="00390D12"/>
    <w:rsid w:val="00393B5F"/>
    <w:rsid w:val="003A4C2E"/>
    <w:rsid w:val="003A647A"/>
    <w:rsid w:val="003A7E37"/>
    <w:rsid w:val="003B04F3"/>
    <w:rsid w:val="003B7FEA"/>
    <w:rsid w:val="003C0EAB"/>
    <w:rsid w:val="003C3A75"/>
    <w:rsid w:val="003E264C"/>
    <w:rsid w:val="003E56FE"/>
    <w:rsid w:val="003E7EAD"/>
    <w:rsid w:val="003F0E5F"/>
    <w:rsid w:val="003F2488"/>
    <w:rsid w:val="003F49AB"/>
    <w:rsid w:val="004042D3"/>
    <w:rsid w:val="0040606F"/>
    <w:rsid w:val="00415FBB"/>
    <w:rsid w:val="00423477"/>
    <w:rsid w:val="0042602F"/>
    <w:rsid w:val="00454FC1"/>
    <w:rsid w:val="0045558F"/>
    <w:rsid w:val="0046417B"/>
    <w:rsid w:val="00465302"/>
    <w:rsid w:val="004668CB"/>
    <w:rsid w:val="00467C8C"/>
    <w:rsid w:val="004764B4"/>
    <w:rsid w:val="00495209"/>
    <w:rsid w:val="004970F8"/>
    <w:rsid w:val="004A3751"/>
    <w:rsid w:val="004A7B2B"/>
    <w:rsid w:val="004B2285"/>
    <w:rsid w:val="004C0B18"/>
    <w:rsid w:val="004D361F"/>
    <w:rsid w:val="004D5F91"/>
    <w:rsid w:val="004E3BF1"/>
    <w:rsid w:val="004F1F39"/>
    <w:rsid w:val="004F507B"/>
    <w:rsid w:val="005039FC"/>
    <w:rsid w:val="005119F9"/>
    <w:rsid w:val="00512281"/>
    <w:rsid w:val="00513D12"/>
    <w:rsid w:val="00514430"/>
    <w:rsid w:val="00523D81"/>
    <w:rsid w:val="0053246D"/>
    <w:rsid w:val="00535CF4"/>
    <w:rsid w:val="00540E45"/>
    <w:rsid w:val="0054555A"/>
    <w:rsid w:val="00570071"/>
    <w:rsid w:val="00577BE0"/>
    <w:rsid w:val="00587219"/>
    <w:rsid w:val="00597E9D"/>
    <w:rsid w:val="005A0380"/>
    <w:rsid w:val="005A4A66"/>
    <w:rsid w:val="005A59D9"/>
    <w:rsid w:val="005A736B"/>
    <w:rsid w:val="005B68AA"/>
    <w:rsid w:val="005C4877"/>
    <w:rsid w:val="005D1F16"/>
    <w:rsid w:val="005D323F"/>
    <w:rsid w:val="005D42AD"/>
    <w:rsid w:val="005D4C54"/>
    <w:rsid w:val="005D75D4"/>
    <w:rsid w:val="005E082C"/>
    <w:rsid w:val="005E17A9"/>
    <w:rsid w:val="005E189B"/>
    <w:rsid w:val="005E3D11"/>
    <w:rsid w:val="005F7AFB"/>
    <w:rsid w:val="00600FBF"/>
    <w:rsid w:val="0061077A"/>
    <w:rsid w:val="00615BE6"/>
    <w:rsid w:val="006171AA"/>
    <w:rsid w:val="00624B95"/>
    <w:rsid w:val="006270E6"/>
    <w:rsid w:val="0063001C"/>
    <w:rsid w:val="00631B4F"/>
    <w:rsid w:val="00632E53"/>
    <w:rsid w:val="006347F6"/>
    <w:rsid w:val="00635690"/>
    <w:rsid w:val="00637AC0"/>
    <w:rsid w:val="00642CC6"/>
    <w:rsid w:val="006458E0"/>
    <w:rsid w:val="00646BD2"/>
    <w:rsid w:val="0065160D"/>
    <w:rsid w:val="00652D7E"/>
    <w:rsid w:val="0065508C"/>
    <w:rsid w:val="0065758F"/>
    <w:rsid w:val="00661B26"/>
    <w:rsid w:val="00690F78"/>
    <w:rsid w:val="006A1168"/>
    <w:rsid w:val="006A1383"/>
    <w:rsid w:val="006A47E5"/>
    <w:rsid w:val="006A5C35"/>
    <w:rsid w:val="006B3398"/>
    <w:rsid w:val="006B474D"/>
    <w:rsid w:val="006B4A96"/>
    <w:rsid w:val="006C0E2F"/>
    <w:rsid w:val="006C2B0F"/>
    <w:rsid w:val="006D1050"/>
    <w:rsid w:val="006D4098"/>
    <w:rsid w:val="006E16D1"/>
    <w:rsid w:val="006F162C"/>
    <w:rsid w:val="006F2543"/>
    <w:rsid w:val="006F3C20"/>
    <w:rsid w:val="006F7E52"/>
    <w:rsid w:val="007002B3"/>
    <w:rsid w:val="00704250"/>
    <w:rsid w:val="00705A36"/>
    <w:rsid w:val="00716045"/>
    <w:rsid w:val="00720FA9"/>
    <w:rsid w:val="007247FD"/>
    <w:rsid w:val="00732938"/>
    <w:rsid w:val="00737E11"/>
    <w:rsid w:val="00747719"/>
    <w:rsid w:val="007517A3"/>
    <w:rsid w:val="00791700"/>
    <w:rsid w:val="007A1F4E"/>
    <w:rsid w:val="007B662B"/>
    <w:rsid w:val="007C1ED9"/>
    <w:rsid w:val="007C4D62"/>
    <w:rsid w:val="007C5F51"/>
    <w:rsid w:val="007D65C5"/>
    <w:rsid w:val="007E66D0"/>
    <w:rsid w:val="007F5E51"/>
    <w:rsid w:val="00800188"/>
    <w:rsid w:val="00801E93"/>
    <w:rsid w:val="00826B08"/>
    <w:rsid w:val="00835C18"/>
    <w:rsid w:val="008626F8"/>
    <w:rsid w:val="008654D6"/>
    <w:rsid w:val="00874D93"/>
    <w:rsid w:val="0088195E"/>
    <w:rsid w:val="00885FBD"/>
    <w:rsid w:val="008863B8"/>
    <w:rsid w:val="0088657E"/>
    <w:rsid w:val="00893361"/>
    <w:rsid w:val="008A05BB"/>
    <w:rsid w:val="008A317E"/>
    <w:rsid w:val="008B1CBD"/>
    <w:rsid w:val="008C6B44"/>
    <w:rsid w:val="008D506A"/>
    <w:rsid w:val="00900428"/>
    <w:rsid w:val="00904A91"/>
    <w:rsid w:val="00923377"/>
    <w:rsid w:val="00925650"/>
    <w:rsid w:val="00926B54"/>
    <w:rsid w:val="00931993"/>
    <w:rsid w:val="00932BF0"/>
    <w:rsid w:val="00943808"/>
    <w:rsid w:val="009455AB"/>
    <w:rsid w:val="0094715F"/>
    <w:rsid w:val="009639EA"/>
    <w:rsid w:val="00967B3A"/>
    <w:rsid w:val="00980B27"/>
    <w:rsid w:val="00982329"/>
    <w:rsid w:val="00990231"/>
    <w:rsid w:val="0099087B"/>
    <w:rsid w:val="00994D50"/>
    <w:rsid w:val="0099508F"/>
    <w:rsid w:val="009A1435"/>
    <w:rsid w:val="009A5809"/>
    <w:rsid w:val="009A75B7"/>
    <w:rsid w:val="009B244D"/>
    <w:rsid w:val="009B3BF7"/>
    <w:rsid w:val="009B3D14"/>
    <w:rsid w:val="009B73DF"/>
    <w:rsid w:val="009D79D0"/>
    <w:rsid w:val="009E178C"/>
    <w:rsid w:val="009F4E80"/>
    <w:rsid w:val="00A01651"/>
    <w:rsid w:val="00A0415F"/>
    <w:rsid w:val="00A13E0E"/>
    <w:rsid w:val="00A22E7E"/>
    <w:rsid w:val="00A3135D"/>
    <w:rsid w:val="00A354E8"/>
    <w:rsid w:val="00A4069D"/>
    <w:rsid w:val="00A52B53"/>
    <w:rsid w:val="00A638D3"/>
    <w:rsid w:val="00A66D19"/>
    <w:rsid w:val="00A71079"/>
    <w:rsid w:val="00A727C6"/>
    <w:rsid w:val="00A7327E"/>
    <w:rsid w:val="00A77AFE"/>
    <w:rsid w:val="00A77DAE"/>
    <w:rsid w:val="00A80624"/>
    <w:rsid w:val="00A83764"/>
    <w:rsid w:val="00AA19AE"/>
    <w:rsid w:val="00AA331C"/>
    <w:rsid w:val="00AB0F8A"/>
    <w:rsid w:val="00AB2D50"/>
    <w:rsid w:val="00AB5D97"/>
    <w:rsid w:val="00AC1265"/>
    <w:rsid w:val="00AC3EB9"/>
    <w:rsid w:val="00AD5651"/>
    <w:rsid w:val="00AE0329"/>
    <w:rsid w:val="00AE1354"/>
    <w:rsid w:val="00AE2FCB"/>
    <w:rsid w:val="00AF35FB"/>
    <w:rsid w:val="00AF655F"/>
    <w:rsid w:val="00B043F5"/>
    <w:rsid w:val="00B255F9"/>
    <w:rsid w:val="00B27C49"/>
    <w:rsid w:val="00B355B5"/>
    <w:rsid w:val="00B5015C"/>
    <w:rsid w:val="00B551EC"/>
    <w:rsid w:val="00B57EC1"/>
    <w:rsid w:val="00B7299B"/>
    <w:rsid w:val="00B83FAA"/>
    <w:rsid w:val="00B84704"/>
    <w:rsid w:val="00B871D0"/>
    <w:rsid w:val="00B90E39"/>
    <w:rsid w:val="00BA0922"/>
    <w:rsid w:val="00BA6C39"/>
    <w:rsid w:val="00BB170B"/>
    <w:rsid w:val="00BC01E7"/>
    <w:rsid w:val="00BD2515"/>
    <w:rsid w:val="00BD491E"/>
    <w:rsid w:val="00BE4831"/>
    <w:rsid w:val="00C21C1A"/>
    <w:rsid w:val="00C267F4"/>
    <w:rsid w:val="00C26A73"/>
    <w:rsid w:val="00C2722D"/>
    <w:rsid w:val="00C351AC"/>
    <w:rsid w:val="00C4519D"/>
    <w:rsid w:val="00C56934"/>
    <w:rsid w:val="00C57236"/>
    <w:rsid w:val="00C611A2"/>
    <w:rsid w:val="00C76916"/>
    <w:rsid w:val="00C839FA"/>
    <w:rsid w:val="00C91C8B"/>
    <w:rsid w:val="00C961F3"/>
    <w:rsid w:val="00CC48F6"/>
    <w:rsid w:val="00CD354E"/>
    <w:rsid w:val="00CE5083"/>
    <w:rsid w:val="00CF36A9"/>
    <w:rsid w:val="00CF6056"/>
    <w:rsid w:val="00CF7384"/>
    <w:rsid w:val="00D43DF7"/>
    <w:rsid w:val="00D45A15"/>
    <w:rsid w:val="00D51F65"/>
    <w:rsid w:val="00D52CA2"/>
    <w:rsid w:val="00D54E36"/>
    <w:rsid w:val="00D57A92"/>
    <w:rsid w:val="00D614C0"/>
    <w:rsid w:val="00D649B3"/>
    <w:rsid w:val="00D66C25"/>
    <w:rsid w:val="00D822EF"/>
    <w:rsid w:val="00D86863"/>
    <w:rsid w:val="00D8721A"/>
    <w:rsid w:val="00D91C10"/>
    <w:rsid w:val="00D92BD5"/>
    <w:rsid w:val="00D94375"/>
    <w:rsid w:val="00DA0BC0"/>
    <w:rsid w:val="00DB23F0"/>
    <w:rsid w:val="00DB307F"/>
    <w:rsid w:val="00DB6CE9"/>
    <w:rsid w:val="00DC30B4"/>
    <w:rsid w:val="00DD2683"/>
    <w:rsid w:val="00DD4984"/>
    <w:rsid w:val="00DD7593"/>
    <w:rsid w:val="00DF5D0B"/>
    <w:rsid w:val="00E126C7"/>
    <w:rsid w:val="00E23BD0"/>
    <w:rsid w:val="00E30FB2"/>
    <w:rsid w:val="00E317E5"/>
    <w:rsid w:val="00E550BF"/>
    <w:rsid w:val="00E7479A"/>
    <w:rsid w:val="00E800A4"/>
    <w:rsid w:val="00E813F7"/>
    <w:rsid w:val="00E834E5"/>
    <w:rsid w:val="00EA2779"/>
    <w:rsid w:val="00EA40BE"/>
    <w:rsid w:val="00EB2D2F"/>
    <w:rsid w:val="00EB676E"/>
    <w:rsid w:val="00EB6A0D"/>
    <w:rsid w:val="00EC35FF"/>
    <w:rsid w:val="00EC54C7"/>
    <w:rsid w:val="00ED3BA6"/>
    <w:rsid w:val="00ED6264"/>
    <w:rsid w:val="00ED6CC7"/>
    <w:rsid w:val="00ED78C7"/>
    <w:rsid w:val="00EE45A0"/>
    <w:rsid w:val="00EE4FBD"/>
    <w:rsid w:val="00EF063D"/>
    <w:rsid w:val="00F07DCA"/>
    <w:rsid w:val="00F20759"/>
    <w:rsid w:val="00F26B76"/>
    <w:rsid w:val="00F278F2"/>
    <w:rsid w:val="00F27CBB"/>
    <w:rsid w:val="00F34B6D"/>
    <w:rsid w:val="00F36FFE"/>
    <w:rsid w:val="00F406AB"/>
    <w:rsid w:val="00F466EF"/>
    <w:rsid w:val="00F50DFA"/>
    <w:rsid w:val="00F65179"/>
    <w:rsid w:val="00F659E9"/>
    <w:rsid w:val="00F7515F"/>
    <w:rsid w:val="00F775D5"/>
    <w:rsid w:val="00F810D6"/>
    <w:rsid w:val="00F908A6"/>
    <w:rsid w:val="00FA0A09"/>
    <w:rsid w:val="00FB0B87"/>
    <w:rsid w:val="00FB203D"/>
    <w:rsid w:val="00FC276E"/>
    <w:rsid w:val="00FD258D"/>
    <w:rsid w:val="00FF7C65"/>
    <w:rsid w:val="08B4498C"/>
    <w:rsid w:val="10793E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463D95"/>
  <w15:docId w15:val="{1BBD4EA0-AF6B-4371-8194-E3B06D42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pPr>
    <w:rPr>
      <w:rFonts w:ascii="Malgun Gothic" w:eastAsia="Malgun Gothic" w:hAnsi="Malgun Gothic" w:cs="Malgun Gothic"/>
      <w:sz w:val="22"/>
      <w:szCs w:val="24"/>
      <w:lang w:val="en-US"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NormalWeb">
    <w:name w:val="Normal (Web)"/>
    <w:basedOn w:val="Normal"/>
    <w:uiPriority w:val="99"/>
    <w:semiHidden/>
    <w:unhideWhenUsed/>
    <w:qFormat/>
    <w:pPr>
      <w:spacing w:before="100" w:beforeAutospacing="1" w:after="100" w:afterAutospacing="1"/>
    </w:pPr>
    <w:rPr>
      <w:rFonts w:ascii="Times New Roman" w:eastAsia="Times New Roman" w:hAnsi="Times New Roman" w:cs="Times New Roman"/>
      <w:sz w:val="24"/>
      <w:lang w:eastAsia="en-US"/>
    </w:r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pPr>
      <w:spacing w:after="0" w:line="240" w:lineRule="auto"/>
    </w:pPr>
    <w:rPr>
      <w:rFonts w:ascii="Malgun Gothic" w:eastAsia="Malgun Gothic" w:hAnsi="Malgun Gothic" w:cs="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40"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0" w:line="240" w:lineRule="auto"/>
    </w:pPr>
    <w:rPr>
      <w:rFonts w:ascii="Malgun Gothic" w:eastAsia="Malgun Gothic" w:hAnsi="Malgun Gothic" w:cs="Malgun Gothic"/>
      <w:sz w:val="22"/>
      <w:szCs w:val="24"/>
      <w:lang w:val="en-US"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17A03-49F4-4127-9EB9-2233262A444E}">
  <ds:schemaRefs>
    <ds:schemaRef ds:uri="http://schemas.openxmlformats.org/officeDocument/2006/bibliography"/>
  </ds:schemaRefs>
</ds:datastoreItem>
</file>

<file path=customXml/itemProps2.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6.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7.xml><?xml version="1.0" encoding="utf-8"?>
<ds:datastoreItem xmlns:ds="http://schemas.openxmlformats.org/officeDocument/2006/customXml" ds:itemID="{1A767391-B86B-4C08-A56E-DE419E6F6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1842</Words>
  <Characters>9768</Characters>
  <Application>Microsoft Office Word</Application>
  <DocSecurity>0</DocSecurity>
  <Lines>81</Lines>
  <Paragraphs>23</Paragraphs>
  <ScaleCrop>false</ScaleCrop>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30</cp:revision>
  <dcterms:created xsi:type="dcterms:W3CDTF">2022-02-25T17:37:00Z</dcterms:created>
  <dcterms:modified xsi:type="dcterms:W3CDTF">2022-02-27T20:25:00Z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ies>
</file>